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1BBC0" w14:textId="77777777" w:rsidR="006B62D4" w:rsidRDefault="006B62D4" w:rsidP="006B62D4">
      <w:pPr>
        <w:keepNext/>
        <w:keepLines/>
        <w:widowControl w:val="0"/>
        <w:spacing w:before="100" w:beforeAutospacing="1" w:after="100" w:afterAutospacing="1" w:line="273" w:lineRule="auto"/>
        <w:outlineLvl w:val="0"/>
        <w:rPr>
          <w:rFonts w:ascii="Calibri Light" w:eastAsia="DengXian" w:hAnsi="Calibri Light" w:cs="Times New Roman"/>
          <w:b/>
          <w:color w:val="2F5496"/>
          <w:kern w:val="36"/>
          <w:sz w:val="48"/>
          <w:szCs w:val="48"/>
          <w:lang w:eastAsia="en-GB"/>
        </w:rPr>
      </w:pPr>
      <w:r w:rsidRPr="003C2A16">
        <w:rPr>
          <w:rFonts w:ascii="Calibri Light" w:eastAsia="DengXian" w:hAnsi="Calibri Light" w:cs="Times New Roman"/>
          <w:b/>
          <w:color w:val="2F5496"/>
          <w:kern w:val="36"/>
          <w:sz w:val="48"/>
          <w:szCs w:val="48"/>
          <w:lang w:eastAsia="en-GB"/>
        </w:rPr>
        <w:t xml:space="preserve">Makroekonomie 2. </w:t>
      </w:r>
    </w:p>
    <w:p w14:paraId="793C45C2" w14:textId="4E8C73EA" w:rsidR="00322E69" w:rsidRPr="006B62D4" w:rsidRDefault="006B62D4" w:rsidP="006B62D4">
      <w:pPr>
        <w:pStyle w:val="Heading1"/>
        <w:ind w:left="360"/>
        <w:rPr>
          <w:rFonts w:eastAsiaTheme="minorEastAsia"/>
          <w:b/>
          <w:sz w:val="48"/>
          <w:szCs w:val="48"/>
        </w:rPr>
      </w:pPr>
      <w:r w:rsidRPr="003C2A16">
        <w:rPr>
          <w:rFonts w:ascii="Calibri Light" w:eastAsia="DengXian" w:hAnsi="Calibri Light" w:cs="Times New Roman"/>
          <w:b/>
          <w:color w:val="2F5496"/>
          <w:kern w:val="36"/>
          <w:sz w:val="48"/>
          <w:szCs w:val="48"/>
          <w:lang w:eastAsia="en-GB"/>
        </w:rPr>
        <w:t>Cvičení</w:t>
      </w:r>
      <w:r w:rsidRPr="006B62D4">
        <w:rPr>
          <w:rFonts w:ascii="Calibri Light" w:eastAsia="DengXian" w:hAnsi="Calibri Light" w:cs="Times New Roman"/>
          <w:b/>
          <w:color w:val="2F5496"/>
          <w:kern w:val="36"/>
          <w:sz w:val="48"/>
          <w:szCs w:val="48"/>
          <w:lang w:eastAsia="en-GB"/>
        </w:rPr>
        <w:t>:</w:t>
      </w:r>
      <w:r w:rsidRPr="003C2A16">
        <w:rPr>
          <w:rFonts w:ascii="Calibri Light" w:eastAsia="DengXian" w:hAnsi="Calibri Light" w:cs="Times New Roman"/>
          <w:b/>
          <w:color w:val="2F5496"/>
          <w:kern w:val="36"/>
          <w:sz w:val="48"/>
          <w:szCs w:val="48"/>
          <w:lang w:eastAsia="en-GB"/>
        </w:rPr>
        <w:t xml:space="preserve"> </w:t>
      </w:r>
      <w:r w:rsidR="00982EA4" w:rsidRPr="006B62D4">
        <w:rPr>
          <w:rFonts w:eastAsiaTheme="minorEastAsia"/>
          <w:b/>
          <w:sz w:val="48"/>
          <w:szCs w:val="48"/>
        </w:rPr>
        <w:t>Platební bilance (PB)</w:t>
      </w:r>
    </w:p>
    <w:p w14:paraId="793C45C3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Platební bilance je statistický účetní záznam peněžních i nepeněžních toků a </w:t>
      </w:r>
      <w:r>
        <w:rPr>
          <w:rFonts w:eastAsiaTheme="minorEastAsia"/>
          <w:b/>
          <w:sz w:val="28"/>
        </w:rPr>
        <w:t>také změn aktiv a pasiv mezi domácími (residenti) a zahraničními ekonomickými subjekty.</w:t>
      </w:r>
    </w:p>
    <w:p w14:paraId="793C45C4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Kreditní položky (+) značí příliv peněz do ekonomiky (běžný a kapitálový účet) či zvýšení zahraničních aktiv nebo pasiv (finanční účet).</w:t>
      </w:r>
    </w:p>
    <w:p w14:paraId="793C45C5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Debetní položky (–) značí odliv peněz z ekonomiky (běžný a kapitálový účet) či snížení zahraničních aktiv nebo pasiv (finanční účet).</w:t>
      </w:r>
    </w:p>
    <w:p w14:paraId="793C45C6" w14:textId="77777777" w:rsidR="00322E69" w:rsidRDefault="00982EA4">
      <w:pPr>
        <w:jc w:val="center"/>
        <w:rPr>
          <w:rFonts w:eastAsiaTheme="minorEastAsia"/>
          <w:b/>
        </w:rPr>
      </w:pPr>
      <w:r>
        <w:rPr>
          <w:noProof/>
        </w:rPr>
        <w:drawing>
          <wp:inline distT="0" distB="0" distL="0" distR="0" wp14:anchorId="793C464F" wp14:editId="793C4650">
            <wp:extent cx="3348355" cy="484505"/>
            <wp:effectExtent l="0" t="0" r="4445" b="0"/>
            <wp:docPr id="10" name="Obrázek 9" descr="Identita platební bil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Identita platební bila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8668" cy="485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3C45C7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t>Struktura platební bilance</w:t>
      </w:r>
    </w:p>
    <w:p w14:paraId="793C45C8" w14:textId="77777777" w:rsidR="00322E69" w:rsidRDefault="00982EA4">
      <w:pPr>
        <w:rPr>
          <w:rFonts w:eastAsiaTheme="minorEastAsia"/>
          <w:b/>
          <w:sz w:val="32"/>
        </w:rPr>
      </w:pPr>
      <w:r>
        <w:rPr>
          <w:rFonts w:eastAsiaTheme="minorEastAsia"/>
          <w:b/>
          <w:sz w:val="32"/>
          <w:highlight w:val="lightGray"/>
        </w:rPr>
        <w:t>1. Běžný účet</w:t>
      </w:r>
    </w:p>
    <w:p w14:paraId="793C45C9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Kreditní položky (příliv peněz do ekonomiky) / Debetní položky (odliv peněz z ekonomiky)</w:t>
      </w:r>
    </w:p>
    <w:p w14:paraId="793C45CA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Export výrobků a zboží / Import výrobků a zboží</w:t>
      </w:r>
    </w:p>
    <w:p w14:paraId="793C45CB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Export služeb</w:t>
      </w:r>
    </w:p>
    <w:p w14:paraId="793C45CC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Import služeb</w:t>
      </w:r>
    </w:p>
    <w:p w14:paraId="793C45CD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Příjmy (z práce a kapitálu)</w:t>
      </w:r>
    </w:p>
    <w:p w14:paraId="793C45CE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Výdaje (z práce a kapitálu)</w:t>
      </w:r>
    </w:p>
    <w:p w14:paraId="793C45CF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Příjmy (transferové)</w:t>
      </w:r>
    </w:p>
    <w:p w14:paraId="793C45D0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Výdaje (transferové)</w:t>
      </w:r>
    </w:p>
    <w:p w14:paraId="793C45D1" w14:textId="77777777" w:rsidR="00322E69" w:rsidRDefault="00322E69">
      <w:pPr>
        <w:rPr>
          <w:rFonts w:eastAsiaTheme="minorEastAsia"/>
          <w:b/>
          <w:sz w:val="28"/>
          <w:highlight w:val="lightGray"/>
        </w:rPr>
      </w:pPr>
    </w:p>
    <w:p w14:paraId="793C45D2" w14:textId="77777777" w:rsidR="00322E69" w:rsidRDefault="00322E69">
      <w:pPr>
        <w:rPr>
          <w:rFonts w:eastAsiaTheme="minorEastAsia"/>
          <w:b/>
          <w:sz w:val="28"/>
          <w:highlight w:val="lightGray"/>
        </w:rPr>
      </w:pPr>
    </w:p>
    <w:p w14:paraId="793C45D3" w14:textId="77777777" w:rsidR="00322E69" w:rsidRDefault="00322E69">
      <w:pPr>
        <w:rPr>
          <w:rFonts w:eastAsiaTheme="minorEastAsia"/>
          <w:b/>
          <w:sz w:val="28"/>
          <w:highlight w:val="lightGray"/>
        </w:rPr>
      </w:pPr>
    </w:p>
    <w:p w14:paraId="793C45D4" w14:textId="77777777" w:rsidR="00322E69" w:rsidRDefault="00982EA4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  <w:highlight w:val="lightGray"/>
        </w:rPr>
        <w:lastRenderedPageBreak/>
        <w:t>2. Kapitálový účet</w:t>
      </w:r>
    </w:p>
    <w:p w14:paraId="793C45D5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Kreditní položky (příliv peněz do ekonomiky)</w:t>
      </w:r>
    </w:p>
    <w:p w14:paraId="793C45D6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Debetní položky (odliv peněz z ekonomiky)</w:t>
      </w:r>
    </w:p>
    <w:p w14:paraId="793C45D7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Příjmy z kapitálových transferů</w:t>
      </w:r>
    </w:p>
    <w:p w14:paraId="793C45D8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Výdaje na kapitálové transfery</w:t>
      </w:r>
    </w:p>
    <w:p w14:paraId="793C45D9" w14:textId="77777777" w:rsidR="00322E69" w:rsidRDefault="00982EA4">
      <w:pPr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>3</w:t>
      </w:r>
      <w:r>
        <w:rPr>
          <w:rFonts w:eastAsiaTheme="minorEastAsia"/>
          <w:b/>
          <w:sz w:val="28"/>
          <w:highlight w:val="lightGray"/>
        </w:rPr>
        <w:t>. Finanční účet</w:t>
      </w:r>
    </w:p>
    <w:p w14:paraId="793C45DA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Kreditní položky (zvýšení zahraničních aktiv nebo pasiv)</w:t>
      </w:r>
    </w:p>
    <w:p w14:paraId="793C45DB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Debetní položky (snížení zahraničních aktiv nebo pasiv)</w:t>
      </w:r>
    </w:p>
    <w:p w14:paraId="793C45DC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Čistá změna zahraničních aktiv</w:t>
      </w:r>
    </w:p>
    <w:p w14:paraId="793C45DD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 xml:space="preserve">- Přímé investice </w:t>
      </w:r>
      <w:r>
        <w:rPr>
          <w:rFonts w:eastAsiaTheme="minorEastAsia"/>
          <w:b/>
        </w:rPr>
        <w:t>residentů v zahraničí</w:t>
      </w:r>
    </w:p>
    <w:p w14:paraId="793C45DE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Portfoliové investice residentů v zahraničí</w:t>
      </w:r>
    </w:p>
    <w:p w14:paraId="793C45DF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Zahraniční finanční deriváty nakoupené residenty</w:t>
      </w:r>
    </w:p>
    <w:p w14:paraId="793C45E0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Ostatní investice (půjčky do zahraničí)</w:t>
      </w:r>
    </w:p>
    <w:p w14:paraId="793C45E1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Rezervní aktiva (měnové rezervy)</w:t>
      </w:r>
    </w:p>
    <w:p w14:paraId="793C45E2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Čistá změna zahraničních pasiv</w:t>
      </w:r>
    </w:p>
    <w:p w14:paraId="793C45E3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Přímé investice ze zahraničí</w:t>
      </w:r>
    </w:p>
    <w:p w14:paraId="793C45E4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Portfoliové investice ze zahraničí</w:t>
      </w:r>
    </w:p>
    <w:p w14:paraId="793C45E5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Domácí finanční deriváty nakoupené zahraničními subjekty</w:t>
      </w:r>
    </w:p>
    <w:p w14:paraId="793C45E6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- Ostatní investice (výpůjčky ze zahraničí)</w:t>
      </w:r>
    </w:p>
    <w:p w14:paraId="793C45E7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t>4</w:t>
      </w:r>
      <w:r>
        <w:rPr>
          <w:rFonts w:eastAsiaTheme="minorEastAsia"/>
          <w:b/>
          <w:sz w:val="28"/>
          <w:shd w:val="clear" w:color="auto" w:fill="E2EFD9" w:themeFill="accent6" w:themeFillTint="33"/>
        </w:rPr>
        <w:t>. Učet chyb a opomenutí</w:t>
      </w:r>
    </w:p>
    <w:p w14:paraId="793C45E8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Statistická chyba (+) nebo (–)</w:t>
      </w:r>
    </w:p>
    <w:p w14:paraId="793C45E9" w14:textId="77777777" w:rsidR="00322E69" w:rsidRDefault="00322E69">
      <w:pPr>
        <w:rPr>
          <w:rFonts w:eastAsiaTheme="minorEastAsia"/>
          <w:b/>
        </w:rPr>
      </w:pPr>
    </w:p>
    <w:p w14:paraId="793C45EA" w14:textId="77777777" w:rsidR="00322E69" w:rsidRDefault="00322E69">
      <w:pPr>
        <w:rPr>
          <w:rFonts w:eastAsiaTheme="minorEastAsia"/>
          <w:b/>
        </w:rPr>
      </w:pPr>
    </w:p>
    <w:p w14:paraId="793C45EB" w14:textId="77777777" w:rsidR="00322E69" w:rsidRDefault="00322E69">
      <w:pPr>
        <w:rPr>
          <w:rFonts w:eastAsiaTheme="minorEastAsia"/>
          <w:b/>
        </w:rPr>
      </w:pPr>
    </w:p>
    <w:p w14:paraId="793C45EC" w14:textId="77777777" w:rsidR="00322E69" w:rsidRDefault="00322E69">
      <w:pPr>
        <w:rPr>
          <w:rFonts w:eastAsiaTheme="minorEastAsia"/>
          <w:b/>
        </w:rPr>
      </w:pPr>
    </w:p>
    <w:p w14:paraId="793C45ED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Obchodní bilance = export výrobků a zboží – import výrobků a zboží</w:t>
      </w:r>
    </w:p>
    <w:p w14:paraId="793C45EE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Bilance služeb = export služeb – import služeb</w:t>
      </w:r>
    </w:p>
    <w:p w14:paraId="793C45EF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Bilance prvotních důchodů = příjmy (z práce a kapitálu) – výdaje (z práce a kapitálu)</w:t>
      </w:r>
    </w:p>
    <w:p w14:paraId="793C45F0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Bilance druhotných důchodů = příjmy (transferové) – výdaje (transferové)</w:t>
      </w:r>
    </w:p>
    <w:p w14:paraId="793C45F1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 xml:space="preserve">Výkonová bilance = obchodní </w:t>
      </w:r>
      <w:r>
        <w:rPr>
          <w:rFonts w:eastAsiaTheme="minorEastAsia"/>
          <w:b/>
        </w:rPr>
        <w:t>bilance + bilance služeb</w:t>
      </w:r>
    </w:p>
    <w:p w14:paraId="793C45F2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Bilance běžného účtu = obchodní bilance + bilance služeb + bilance prvotních důchodů + bilance druhotných důchodů</w:t>
      </w:r>
    </w:p>
    <w:p w14:paraId="793C45F3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Bilance kapitálového účtu = příjmy z kapitálových transferů – výdaje na kapitálové transfery</w:t>
      </w:r>
    </w:p>
    <w:p w14:paraId="793C45F4" w14:textId="77777777" w:rsidR="00322E69" w:rsidRDefault="00982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Bilance finančního účtu = čistá změna zahraničních aktiv + čistá změna zahraničních pasiv</w:t>
      </w:r>
    </w:p>
    <w:p w14:paraId="793C45F5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t>Platební bilance celkem</w:t>
      </w:r>
    </w:p>
    <w:p w14:paraId="793C45F6" w14:textId="77777777" w:rsidR="00322E69" w:rsidRDefault="00982EA4">
      <w:pPr>
        <w:rPr>
          <w:rFonts w:eastAsiaTheme="minorEastAsia"/>
          <w:b/>
          <w:highlight w:val="yellow"/>
        </w:rPr>
      </w:pPr>
      <w:r>
        <w:rPr>
          <w:rFonts w:eastAsiaTheme="minorEastAsia"/>
          <w:b/>
          <w:highlight w:val="yellow"/>
        </w:rPr>
        <w:t>bilance běžného účtu + bilance kapitálového účtu + saldo chyb a opomenutí = bilance finančního účtu = změna investiční pozice země</w:t>
      </w:r>
    </w:p>
    <w:p w14:paraId="793C45F7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SHRNUTÍ: </w:t>
      </w:r>
    </w:p>
    <w:tbl>
      <w:tblPr>
        <w:tblW w:w="84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2477"/>
        <w:gridCol w:w="2839"/>
      </w:tblGrid>
      <w:tr w:rsidR="00322E69" w14:paraId="793C45F9" w14:textId="77777777">
        <w:trPr>
          <w:trHeight w:val="300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793C45F8" w14:textId="77777777" w:rsidR="00322E69" w:rsidRDefault="00982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Kreditní a debetní položky platební bilance</w:t>
            </w:r>
          </w:p>
        </w:tc>
      </w:tr>
      <w:tr w:rsidR="00322E69" w14:paraId="793C45FD" w14:textId="77777777">
        <w:trPr>
          <w:trHeight w:val="300"/>
        </w:trPr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5FA" w14:textId="77777777" w:rsidR="00322E69" w:rsidRDefault="00982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5FB" w14:textId="77777777" w:rsidR="00322E69" w:rsidRDefault="00982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Kredit (+)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5FC" w14:textId="77777777" w:rsidR="00322E69" w:rsidRDefault="00982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Debet(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-)</w:t>
            </w:r>
          </w:p>
        </w:tc>
      </w:tr>
      <w:tr w:rsidR="00322E69" w14:paraId="793C4601" w14:textId="77777777">
        <w:trPr>
          <w:trHeight w:val="576"/>
        </w:trPr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5FE" w14:textId="77777777" w:rsidR="00322E69" w:rsidRDefault="00322E69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5FF" w14:textId="77777777" w:rsidR="00322E69" w:rsidRDefault="00982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Devizová nabídka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0" w14:textId="77777777" w:rsidR="00322E69" w:rsidRDefault="00982E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Devizová poptávka</w:t>
            </w:r>
          </w:p>
        </w:tc>
      </w:tr>
      <w:tr w:rsidR="00322E69" w14:paraId="793C4605" w14:textId="77777777">
        <w:trPr>
          <w:trHeight w:val="313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2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Zboží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3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export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4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import</w:t>
            </w:r>
          </w:p>
        </w:tc>
      </w:tr>
      <w:tr w:rsidR="00322E69" w14:paraId="793C4609" w14:textId="77777777">
        <w:trPr>
          <w:trHeight w:val="300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6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7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export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8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import</w:t>
            </w:r>
          </w:p>
        </w:tc>
      </w:tr>
      <w:tr w:rsidR="00322E69" w14:paraId="793C460D" w14:textId="77777777">
        <w:trPr>
          <w:trHeight w:val="300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A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Důchody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B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import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C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export</w:t>
            </w:r>
          </w:p>
        </w:tc>
      </w:tr>
      <w:tr w:rsidR="00322E69" w14:paraId="793C4611" w14:textId="77777777">
        <w:trPr>
          <w:trHeight w:val="300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E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Transfery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0F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import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0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export</w:t>
            </w:r>
          </w:p>
        </w:tc>
      </w:tr>
      <w:tr w:rsidR="00322E69" w14:paraId="793C4615" w14:textId="77777777">
        <w:trPr>
          <w:trHeight w:val="313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2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Kapitál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3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import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4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export</w:t>
            </w:r>
          </w:p>
        </w:tc>
      </w:tr>
      <w:tr w:rsidR="00322E69" w14:paraId="793C4619" w14:textId="77777777">
        <w:trPr>
          <w:trHeight w:val="877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6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Změna devizových rezerv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7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snížení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93C4618" w14:textId="77777777" w:rsidR="00322E69" w:rsidRDefault="00982EA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zvýšení</w:t>
            </w:r>
          </w:p>
        </w:tc>
      </w:tr>
    </w:tbl>
    <w:p w14:paraId="793C461A" w14:textId="77777777" w:rsidR="00322E69" w:rsidRDefault="00322E69">
      <w:pPr>
        <w:rPr>
          <w:rFonts w:eastAsiaTheme="minorEastAsia"/>
          <w:b/>
        </w:rPr>
      </w:pPr>
    </w:p>
    <w:p w14:paraId="793C461B" w14:textId="77777777" w:rsidR="00322E69" w:rsidRDefault="00322E69">
      <w:pPr>
        <w:rPr>
          <w:rFonts w:eastAsiaTheme="minorEastAsia"/>
          <w:b/>
        </w:rPr>
      </w:pPr>
    </w:p>
    <w:p w14:paraId="793C461C" w14:textId="77777777" w:rsidR="00322E69" w:rsidRDefault="00322E69">
      <w:pPr>
        <w:rPr>
          <w:rFonts w:eastAsiaTheme="minorEastAsia"/>
          <w:b/>
        </w:rPr>
      </w:pPr>
    </w:p>
    <w:p w14:paraId="793C461D" w14:textId="77777777" w:rsidR="00322E69" w:rsidRDefault="00322E69">
      <w:pPr>
        <w:rPr>
          <w:rFonts w:eastAsiaTheme="minorEastAsia"/>
          <w:b/>
        </w:rPr>
      </w:pPr>
    </w:p>
    <w:p w14:paraId="793C461E" w14:textId="77777777" w:rsidR="00322E69" w:rsidRDefault="00322E69">
      <w:pPr>
        <w:rPr>
          <w:rFonts w:eastAsiaTheme="minorEastAsia"/>
          <w:b/>
        </w:rPr>
      </w:pPr>
    </w:p>
    <w:p w14:paraId="793C461F" w14:textId="77777777" w:rsidR="00322E69" w:rsidRDefault="00322E69">
      <w:pPr>
        <w:rPr>
          <w:rFonts w:eastAsiaTheme="minorEastAsia"/>
          <w:b/>
        </w:rPr>
      </w:pPr>
    </w:p>
    <w:p w14:paraId="793C4622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Příklady</w:t>
      </w:r>
    </w:p>
    <w:p w14:paraId="793C4623" w14:textId="77777777" w:rsidR="00322E69" w:rsidRDefault="00982EA4">
      <w:pPr>
        <w:rPr>
          <w:rFonts w:eastAsiaTheme="minorEastAsia"/>
          <w:b/>
        </w:rPr>
      </w:pPr>
      <w:r>
        <w:rPr>
          <w:noProof/>
        </w:rPr>
        <w:drawing>
          <wp:inline distT="0" distB="0" distL="0" distR="0" wp14:anchorId="793C4651" wp14:editId="793C4652">
            <wp:extent cx="5760720" cy="2531110"/>
            <wp:effectExtent l="0" t="0" r="0" b="2540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4624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t>a) Určete saldo obchodní bilance, bilance prvotních důchodů, výkonové bilance a saldo běžného účtu</w:t>
      </w:r>
    </w:p>
    <w:p w14:paraId="793C4625" w14:textId="77777777" w:rsidR="00322E69" w:rsidRDefault="00982EA4">
      <w:pPr>
        <w:pBdr>
          <w:bottom w:val="single" w:sz="6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>b) Dopočítejte velikost přímých zahraničních investic v domácí ekonomice.</w:t>
      </w:r>
    </w:p>
    <w:p w14:paraId="793C4626" w14:textId="77777777" w:rsidR="00322E69" w:rsidRDefault="00982EA4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2) Ze zadaných údajů vypočítejte hodnotu změn devizových rezerv (v mld. CZK).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4453"/>
      </w:tblGrid>
      <w:tr w:rsidR="00322E69" w14:paraId="793C4629" w14:textId="77777777">
        <w:trPr>
          <w:trHeight w:val="412"/>
        </w:trPr>
        <w:tc>
          <w:tcPr>
            <w:tcW w:w="4451" w:type="dxa"/>
          </w:tcPr>
          <w:p w14:paraId="793C4627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Saldo obchodní bilance   </w:t>
            </w:r>
          </w:p>
        </w:tc>
        <w:tc>
          <w:tcPr>
            <w:tcW w:w="4453" w:type="dxa"/>
          </w:tcPr>
          <w:p w14:paraId="793C4628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120</w:t>
            </w:r>
          </w:p>
        </w:tc>
      </w:tr>
      <w:tr w:rsidR="00322E69" w14:paraId="793C462C" w14:textId="77777777">
        <w:trPr>
          <w:trHeight w:val="412"/>
        </w:trPr>
        <w:tc>
          <w:tcPr>
            <w:tcW w:w="4451" w:type="dxa"/>
          </w:tcPr>
          <w:p w14:paraId="793C462A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Saldo finančního účtu</w:t>
            </w:r>
          </w:p>
        </w:tc>
        <w:tc>
          <w:tcPr>
            <w:tcW w:w="4453" w:type="dxa"/>
          </w:tcPr>
          <w:p w14:paraId="793C462B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170</w:t>
            </w:r>
          </w:p>
        </w:tc>
      </w:tr>
      <w:tr w:rsidR="00322E69" w14:paraId="793C462F" w14:textId="77777777">
        <w:trPr>
          <w:trHeight w:val="412"/>
        </w:trPr>
        <w:tc>
          <w:tcPr>
            <w:tcW w:w="4451" w:type="dxa"/>
          </w:tcPr>
          <w:p w14:paraId="793C462D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Saldo běžného účtu</w:t>
            </w:r>
          </w:p>
        </w:tc>
        <w:tc>
          <w:tcPr>
            <w:tcW w:w="4453" w:type="dxa"/>
          </w:tcPr>
          <w:p w14:paraId="793C462E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-230</w:t>
            </w:r>
          </w:p>
        </w:tc>
      </w:tr>
      <w:tr w:rsidR="00322E69" w14:paraId="793C4632" w14:textId="77777777">
        <w:trPr>
          <w:trHeight w:val="412"/>
        </w:trPr>
        <w:tc>
          <w:tcPr>
            <w:tcW w:w="4451" w:type="dxa"/>
          </w:tcPr>
          <w:p w14:paraId="793C4630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Chyby a opomenutí</w:t>
            </w:r>
          </w:p>
        </w:tc>
        <w:tc>
          <w:tcPr>
            <w:tcW w:w="4453" w:type="dxa"/>
          </w:tcPr>
          <w:p w14:paraId="793C4631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-20</w:t>
            </w:r>
          </w:p>
        </w:tc>
      </w:tr>
      <w:tr w:rsidR="00322E69" w14:paraId="793C4635" w14:textId="77777777">
        <w:trPr>
          <w:trHeight w:val="412"/>
        </w:trPr>
        <w:tc>
          <w:tcPr>
            <w:tcW w:w="4451" w:type="dxa"/>
          </w:tcPr>
          <w:p w14:paraId="793C4633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Saldo kapitálového účtu</w:t>
            </w:r>
          </w:p>
        </w:tc>
        <w:tc>
          <w:tcPr>
            <w:tcW w:w="4453" w:type="dxa"/>
          </w:tcPr>
          <w:p w14:paraId="793C4634" w14:textId="77777777" w:rsidR="00322E69" w:rsidRDefault="00982EA4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-30</w:t>
            </w:r>
          </w:p>
        </w:tc>
      </w:tr>
    </w:tbl>
    <w:p w14:paraId="793C4636" w14:textId="77777777" w:rsidR="00322E69" w:rsidRDefault="00322E69">
      <w:pPr>
        <w:rPr>
          <w:rFonts w:eastAsiaTheme="minorEastAsia"/>
          <w:b/>
        </w:rPr>
      </w:pPr>
    </w:p>
    <w:p w14:paraId="793C4637" w14:textId="77777777" w:rsidR="00322E69" w:rsidRDefault="00322E69">
      <w:pPr>
        <w:rPr>
          <w:rFonts w:eastAsiaTheme="minorEastAsia"/>
          <w:b/>
        </w:rPr>
      </w:pPr>
    </w:p>
    <w:p w14:paraId="793C4638" w14:textId="77777777" w:rsidR="00322E69" w:rsidRDefault="00322E69">
      <w:pPr>
        <w:rPr>
          <w:rFonts w:eastAsiaTheme="minorEastAsia"/>
          <w:b/>
        </w:rPr>
      </w:pPr>
    </w:p>
    <w:p w14:paraId="793C4639" w14:textId="77777777" w:rsidR="00322E69" w:rsidRDefault="00322E69">
      <w:pPr>
        <w:rPr>
          <w:rFonts w:eastAsiaTheme="minorEastAsia"/>
          <w:b/>
        </w:rPr>
      </w:pPr>
    </w:p>
    <w:p w14:paraId="793C463A" w14:textId="77777777" w:rsidR="00322E69" w:rsidRDefault="00322E69">
      <w:pPr>
        <w:rPr>
          <w:rFonts w:eastAsiaTheme="minorEastAsia"/>
          <w:b/>
        </w:rPr>
      </w:pPr>
    </w:p>
    <w:p w14:paraId="793C463B" w14:textId="77777777" w:rsidR="00322E69" w:rsidRDefault="00322E69">
      <w:pPr>
        <w:rPr>
          <w:rFonts w:eastAsiaTheme="minorEastAsia"/>
          <w:b/>
        </w:rPr>
      </w:pPr>
    </w:p>
    <w:p w14:paraId="793C463C" w14:textId="77777777" w:rsidR="00322E69" w:rsidRDefault="00322E69">
      <w:pPr>
        <w:rPr>
          <w:rFonts w:eastAsiaTheme="minorEastAsia"/>
          <w:b/>
        </w:rPr>
      </w:pPr>
    </w:p>
    <w:p w14:paraId="793C463D" w14:textId="77777777" w:rsidR="00322E69" w:rsidRDefault="00322E69">
      <w:pPr>
        <w:rPr>
          <w:rFonts w:eastAsiaTheme="minorEastAsia"/>
          <w:b/>
        </w:rPr>
      </w:pPr>
    </w:p>
    <w:p w14:paraId="793C463E" w14:textId="77777777" w:rsidR="00322E69" w:rsidRDefault="00982EA4">
      <w:pPr>
        <w:pBdr>
          <w:top w:val="single" w:sz="6" w:space="1" w:color="auto"/>
          <w:bottom w:val="single" w:sz="6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3) Na základě následujících mezinárodních operací za určité časové období je sestavena platební </w:t>
      </w:r>
      <w:r>
        <w:rPr>
          <w:rFonts w:eastAsiaTheme="minorEastAsia"/>
          <w:b/>
        </w:rPr>
        <w:t>bilance vyjádřená v EUR.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3F" w14:textId="77777777" w:rsidR="00322E69" w:rsidRDefault="00982EA4">
      <w:pPr>
        <w:pBdr>
          <w:top w:val="single" w:sz="6" w:space="1" w:color="auto"/>
          <w:bottom w:val="single" w:sz="6" w:space="1" w:color="auto"/>
        </w:pBdr>
        <w:rPr>
          <w:rFonts w:eastAsiaTheme="minorEastAsia"/>
          <w:b/>
        </w:rPr>
      </w:pPr>
      <w:r>
        <w:rPr>
          <w:rFonts w:eastAsiaTheme="minorEastAsia"/>
          <w:b/>
        </w:rPr>
        <w:tab/>
      </w:r>
    </w:p>
    <w:p w14:paraId="793C4640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Tuzemská automobilka exportovala automobily ve výši 110 miliónů EUR do Rakouska s okamžitým inkasem na eurový účet u rakouské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1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Nákup akcií tuzemské společnosti v hodnotě 8 miliónů EUR německým investorem s kapitálovou účastí 35 %. Investor uhradil peníze na korunový bankovní účet u tuzemské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2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Česká vláda emitovala dlouhodobé dluhopisy k financování rozvoje dálniční sítě ve výši 10 miliónů EUR, které koupil do portfolia francouzský investiční fond. Úhrada na vládní účet vedený u centrální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3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Česká vláda poslala finanční humanitární pomoc do Sýrie ve výši 15 miliónů EUR ze svého účtu u centrální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4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Tuzemský investiční fond nakoupil akcie na německé burze v hodnotě 5 miliónů EUR, které uhradil ze svého eurového účtu u německé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5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Import německých automobilů na tuzemský trh v hodnotě 120 milionů EUR na 3měsíční obchodní úvěr splatný v následujícím období.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6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Export českého piva na slovenský trh v hodnotě 3 milionů EUR, které byly uhrazeny na korunový účet u tuzemské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7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Česká firma zaplatila za dlouhodobě poskytované poradenské a marketingové služby v hodnotě 10 miliónů EUR z korunového účtu u tuzemské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8" w14:textId="77777777" w:rsidR="00322E69" w:rsidRDefault="00982EA4">
      <w:pPr>
        <w:pStyle w:val="ListParagraph"/>
        <w:numPr>
          <w:ilvl w:val="0"/>
          <w:numId w:val="2"/>
        </w:numPr>
        <w:pBdr>
          <w:top w:val="single" w:sz="6" w:space="1" w:color="auto"/>
          <w:bottom w:val="single" w:sz="6" w:space="1" w:color="auto"/>
        </w:pBdr>
        <w:ind w:left="426" w:hanging="426"/>
        <w:rPr>
          <w:rFonts w:eastAsiaTheme="minorEastAsia"/>
          <w:b/>
        </w:rPr>
      </w:pPr>
      <w:r>
        <w:rPr>
          <w:rFonts w:eastAsiaTheme="minorEastAsia"/>
          <w:b/>
        </w:rPr>
        <w:t>Česká firma vyplatila dividendy německému akcionáři ve výši 2 miliónů EUR z korunového účtu vedeného u tuzemské banky.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14:paraId="793C4649" w14:textId="77777777" w:rsidR="00322E69" w:rsidRDefault="00322E69">
      <w:pPr>
        <w:rPr>
          <w:rFonts w:eastAsiaTheme="minorEastAsia"/>
          <w:b/>
        </w:rPr>
      </w:pPr>
    </w:p>
    <w:p w14:paraId="793C464A" w14:textId="77777777" w:rsidR="00322E69" w:rsidRDefault="00982EA4">
      <w:pPr>
        <w:pStyle w:val="Heading1"/>
      </w:pPr>
      <w:r>
        <w:t>Odkazy:</w:t>
      </w:r>
    </w:p>
    <w:p w14:paraId="793C464B" w14:textId="77777777" w:rsidR="00322E69" w:rsidRDefault="00982EA4">
      <w:hyperlink r:id="rId10" w:history="1">
        <w:r>
          <w:rPr>
            <w:rStyle w:val="Hyperlink"/>
          </w:rPr>
          <w:t>https://www.financevpraxi.cz/makroekonomie-platebni-bilance</w:t>
        </w:r>
      </w:hyperlink>
    </w:p>
    <w:p w14:paraId="793C464C" w14:textId="77777777" w:rsidR="00322E69" w:rsidRDefault="00982EA4">
      <w:hyperlink r:id="rId11" w:history="1">
        <w:r>
          <w:rPr>
            <w:rStyle w:val="Hyperlink"/>
          </w:rPr>
          <w:t>https://www.businessinfo.cz/navody/vnejsi-ekonomicka-rovnovaha/</w:t>
        </w:r>
      </w:hyperlink>
    </w:p>
    <w:p w14:paraId="793C464D" w14:textId="77777777" w:rsidR="00322E69" w:rsidRDefault="00982EA4">
      <w:r>
        <w:t>https://www.cnb.cz/cs/statistika/platebni_bilance_stat/index.html</w:t>
      </w:r>
    </w:p>
    <w:p w14:paraId="793C464E" w14:textId="77777777" w:rsidR="00322E69" w:rsidRDefault="00322E69"/>
    <w:sectPr w:rsidR="0032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C4655" w14:textId="77777777" w:rsidR="00322E69" w:rsidRDefault="00982EA4">
      <w:pPr>
        <w:spacing w:line="240" w:lineRule="auto"/>
      </w:pPr>
      <w:r>
        <w:separator/>
      </w:r>
    </w:p>
  </w:endnote>
  <w:endnote w:type="continuationSeparator" w:id="0">
    <w:p w14:paraId="793C4656" w14:textId="77777777" w:rsidR="00322E69" w:rsidRDefault="00982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C4653" w14:textId="77777777" w:rsidR="00322E69" w:rsidRDefault="00982EA4">
      <w:pPr>
        <w:spacing w:after="0"/>
      </w:pPr>
      <w:r>
        <w:separator/>
      </w:r>
    </w:p>
  </w:footnote>
  <w:footnote w:type="continuationSeparator" w:id="0">
    <w:p w14:paraId="793C4654" w14:textId="77777777" w:rsidR="00322E69" w:rsidRDefault="00982E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12B3"/>
    <w:multiLevelType w:val="multilevel"/>
    <w:tmpl w:val="006312B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58D"/>
    <w:multiLevelType w:val="multilevel"/>
    <w:tmpl w:val="0343458D"/>
    <w:lvl w:ilvl="0">
      <w:start w:val="1"/>
      <w:numFmt w:val="decimal"/>
      <w:pStyle w:val="NoSpacing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71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C4679"/>
    <w:multiLevelType w:val="multilevel"/>
    <w:tmpl w:val="078C4679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B516BA"/>
    <w:multiLevelType w:val="multilevel"/>
    <w:tmpl w:val="09B516B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F4755F4"/>
    <w:multiLevelType w:val="multilevel"/>
    <w:tmpl w:val="0F4755F4"/>
    <w:lvl w:ilvl="0">
      <w:start w:val="1"/>
      <w:numFmt w:val="lowerLetter"/>
      <w:lvlText w:val="%1)"/>
      <w:lvlJc w:val="left"/>
      <w:pPr>
        <w:tabs>
          <w:tab w:val="left" w:pos="1724"/>
        </w:tabs>
        <w:ind w:left="1724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19E6482D"/>
    <w:multiLevelType w:val="multilevel"/>
    <w:tmpl w:val="19E648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55836"/>
    <w:multiLevelType w:val="multilevel"/>
    <w:tmpl w:val="2DA55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F42A4"/>
    <w:multiLevelType w:val="multilevel"/>
    <w:tmpl w:val="372F4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23128"/>
    <w:multiLevelType w:val="multilevel"/>
    <w:tmpl w:val="3BD23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711FE"/>
    <w:multiLevelType w:val="multilevel"/>
    <w:tmpl w:val="3CF711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23908"/>
    <w:multiLevelType w:val="multilevel"/>
    <w:tmpl w:val="44523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80766"/>
    <w:multiLevelType w:val="multilevel"/>
    <w:tmpl w:val="59D80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0EDF"/>
    <w:multiLevelType w:val="multilevel"/>
    <w:tmpl w:val="63700E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95187"/>
    <w:multiLevelType w:val="multilevel"/>
    <w:tmpl w:val="6F79518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07939"/>
    <w:multiLevelType w:val="multilevel"/>
    <w:tmpl w:val="71907939"/>
    <w:lvl w:ilvl="0">
      <w:start w:val="1"/>
      <w:numFmt w:val="lowerLetter"/>
      <w:lvlText w:val="%1)"/>
      <w:lvlJc w:val="left"/>
      <w:pPr>
        <w:ind w:left="1997" w:hanging="360"/>
      </w:pPr>
    </w:lvl>
    <w:lvl w:ilvl="1">
      <w:start w:val="1"/>
      <w:numFmt w:val="lowerLetter"/>
      <w:lvlText w:val="%2)"/>
      <w:lvlJc w:val="left"/>
      <w:pPr>
        <w:ind w:left="2717" w:hanging="360"/>
      </w:pPr>
    </w:lvl>
    <w:lvl w:ilvl="2">
      <w:start w:val="1"/>
      <w:numFmt w:val="lowerRoman"/>
      <w:lvlText w:val="%3."/>
      <w:lvlJc w:val="right"/>
      <w:pPr>
        <w:ind w:left="3437" w:hanging="180"/>
      </w:pPr>
    </w:lvl>
    <w:lvl w:ilvl="3">
      <w:start w:val="1"/>
      <w:numFmt w:val="decimal"/>
      <w:lvlText w:val="%4."/>
      <w:lvlJc w:val="left"/>
      <w:pPr>
        <w:ind w:left="4157" w:hanging="360"/>
      </w:pPr>
    </w:lvl>
    <w:lvl w:ilvl="4">
      <w:start w:val="1"/>
      <w:numFmt w:val="lowerLetter"/>
      <w:lvlText w:val="%5."/>
      <w:lvlJc w:val="left"/>
      <w:pPr>
        <w:ind w:left="4877" w:hanging="360"/>
      </w:pPr>
    </w:lvl>
    <w:lvl w:ilvl="5">
      <w:start w:val="1"/>
      <w:numFmt w:val="lowerRoman"/>
      <w:lvlText w:val="%6."/>
      <w:lvlJc w:val="right"/>
      <w:pPr>
        <w:ind w:left="5597" w:hanging="180"/>
      </w:pPr>
    </w:lvl>
    <w:lvl w:ilvl="6">
      <w:start w:val="1"/>
      <w:numFmt w:val="decimal"/>
      <w:lvlText w:val="%7."/>
      <w:lvlJc w:val="left"/>
      <w:pPr>
        <w:ind w:left="6317" w:hanging="360"/>
      </w:pPr>
    </w:lvl>
    <w:lvl w:ilvl="7">
      <w:start w:val="1"/>
      <w:numFmt w:val="lowerLetter"/>
      <w:lvlText w:val="%8."/>
      <w:lvlJc w:val="left"/>
      <w:pPr>
        <w:ind w:left="7037" w:hanging="360"/>
      </w:pPr>
    </w:lvl>
    <w:lvl w:ilvl="8">
      <w:start w:val="1"/>
      <w:numFmt w:val="lowerRoman"/>
      <w:lvlText w:val="%9."/>
      <w:lvlJc w:val="right"/>
      <w:pPr>
        <w:ind w:left="7757" w:hanging="180"/>
      </w:pPr>
    </w:lvl>
  </w:abstractNum>
  <w:abstractNum w:abstractNumId="15" w15:restartNumberingAfterBreak="0">
    <w:nsid w:val="72574326"/>
    <w:multiLevelType w:val="multilevel"/>
    <w:tmpl w:val="7257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A77A4"/>
    <w:multiLevelType w:val="multilevel"/>
    <w:tmpl w:val="7BFA7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53D27"/>
    <w:multiLevelType w:val="multilevel"/>
    <w:tmpl w:val="7CE53D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A1390"/>
    <w:multiLevelType w:val="multilevel"/>
    <w:tmpl w:val="7D7A13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18452">
    <w:abstractNumId w:val="1"/>
  </w:num>
  <w:num w:numId="2" w16cid:durableId="457145141">
    <w:abstractNumId w:val="7"/>
  </w:num>
  <w:num w:numId="3" w16cid:durableId="684675532">
    <w:abstractNumId w:val="16"/>
  </w:num>
  <w:num w:numId="4" w16cid:durableId="1476485164">
    <w:abstractNumId w:val="0"/>
  </w:num>
  <w:num w:numId="5" w16cid:durableId="857158803">
    <w:abstractNumId w:val="18"/>
  </w:num>
  <w:num w:numId="6" w16cid:durableId="2019034929">
    <w:abstractNumId w:val="2"/>
  </w:num>
  <w:num w:numId="7" w16cid:durableId="938759769">
    <w:abstractNumId w:val="4"/>
  </w:num>
  <w:num w:numId="8" w16cid:durableId="1693411987">
    <w:abstractNumId w:val="3"/>
  </w:num>
  <w:num w:numId="9" w16cid:durableId="1762529262">
    <w:abstractNumId w:val="9"/>
  </w:num>
  <w:num w:numId="10" w16cid:durableId="1532258370">
    <w:abstractNumId w:val="12"/>
  </w:num>
  <w:num w:numId="11" w16cid:durableId="1961690970">
    <w:abstractNumId w:val="13"/>
  </w:num>
  <w:num w:numId="12" w16cid:durableId="1610770734">
    <w:abstractNumId w:val="17"/>
  </w:num>
  <w:num w:numId="13" w16cid:durableId="720640704">
    <w:abstractNumId w:val="15"/>
  </w:num>
  <w:num w:numId="14" w16cid:durableId="1778914807">
    <w:abstractNumId w:val="8"/>
  </w:num>
  <w:num w:numId="15" w16cid:durableId="423497599">
    <w:abstractNumId w:val="14"/>
  </w:num>
  <w:num w:numId="16" w16cid:durableId="1880122642">
    <w:abstractNumId w:val="5"/>
  </w:num>
  <w:num w:numId="17" w16cid:durableId="1063989773">
    <w:abstractNumId w:val="10"/>
  </w:num>
  <w:num w:numId="18" w16cid:durableId="1853182987">
    <w:abstractNumId w:val="11"/>
  </w:num>
  <w:num w:numId="19" w16cid:durableId="976452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1B"/>
    <w:rsid w:val="000363B3"/>
    <w:rsid w:val="000A2296"/>
    <w:rsid w:val="000A5639"/>
    <w:rsid w:val="000F3E78"/>
    <w:rsid w:val="00120B95"/>
    <w:rsid w:val="001A7433"/>
    <w:rsid w:val="00271FCA"/>
    <w:rsid w:val="00280A99"/>
    <w:rsid w:val="00303BEC"/>
    <w:rsid w:val="003172D0"/>
    <w:rsid w:val="00322E69"/>
    <w:rsid w:val="003328A7"/>
    <w:rsid w:val="0035108C"/>
    <w:rsid w:val="00361031"/>
    <w:rsid w:val="004A6461"/>
    <w:rsid w:val="004D44D7"/>
    <w:rsid w:val="005176C8"/>
    <w:rsid w:val="006B62D4"/>
    <w:rsid w:val="006D481F"/>
    <w:rsid w:val="00741094"/>
    <w:rsid w:val="00754E77"/>
    <w:rsid w:val="0077787A"/>
    <w:rsid w:val="00874803"/>
    <w:rsid w:val="0090037A"/>
    <w:rsid w:val="00922EE4"/>
    <w:rsid w:val="00981F3B"/>
    <w:rsid w:val="00982EA4"/>
    <w:rsid w:val="009E61E1"/>
    <w:rsid w:val="00A13A20"/>
    <w:rsid w:val="00A248D6"/>
    <w:rsid w:val="00A54C13"/>
    <w:rsid w:val="00C53177"/>
    <w:rsid w:val="00C569B0"/>
    <w:rsid w:val="00CA2037"/>
    <w:rsid w:val="00CC14FF"/>
    <w:rsid w:val="00CF2A46"/>
    <w:rsid w:val="00D15FF3"/>
    <w:rsid w:val="00D2326B"/>
    <w:rsid w:val="00D35C37"/>
    <w:rsid w:val="00D524D4"/>
    <w:rsid w:val="00DE5318"/>
    <w:rsid w:val="00E02C46"/>
    <w:rsid w:val="00E53F2E"/>
    <w:rsid w:val="00E740C8"/>
    <w:rsid w:val="00F5001B"/>
    <w:rsid w:val="1B9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44C0"/>
  <w15:docId w15:val="{5A2476CF-90F2-4D25-8D60-0FD60544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Times New Roman" w:hAnsi="Times New Roman"/>
      <w:sz w:val="24"/>
      <w:szCs w:val="22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table" w:customStyle="1" w:styleId="Styl1">
    <w:name w:val="Styl1"/>
    <w:basedOn w:val="TableNormal"/>
    <w:uiPriority w:val="99"/>
    <w:rPr>
      <w:rFonts w:eastAsiaTheme="minorEastAsia"/>
      <w:color w:val="000000" w:themeColor="text1"/>
      <w:sz w:val="21"/>
      <w:szCs w:val="21"/>
    </w:rPr>
    <w:tblPr/>
  </w:style>
  <w:style w:type="character" w:customStyle="1" w:styleId="ListParagraphChar">
    <w:name w:val="List Paragraph Char"/>
    <w:basedOn w:val="DefaultParagraphFont"/>
    <w:link w:val="ListParagraph"/>
    <w:uiPriority w:val="99"/>
    <w:qFormat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basedOn w:val="ListParagraph"/>
    <w:next w:val="BodyText"/>
    <w:link w:val="NoSpacingChar"/>
    <w:uiPriority w:val="1"/>
    <w:qFormat/>
    <w:pPr>
      <w:numPr>
        <w:numId w:val="1"/>
      </w:numPr>
      <w:spacing w:after="120" w:line="252" w:lineRule="auto"/>
      <w:contextualSpacing w:val="0"/>
    </w:pPr>
    <w:rPr>
      <w:rFonts w:asciiTheme="minorHAnsi" w:eastAsiaTheme="minorEastAsia" w:hAnsiTheme="minorHAns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usinessinfo.cz/navody/vnejsi-ekonomicka-rovnovah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inancevpraxi.cz/makroekonomie-platebni-bilan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D6244259-ED8D-4599-87CE-8F56E6803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Jursa Lukas</dc:creator>
  <cp:lastModifiedBy>Drastichová Magdaléna</cp:lastModifiedBy>
  <cp:revision>2</cp:revision>
  <dcterms:created xsi:type="dcterms:W3CDTF">2024-11-25T13:19:00Z</dcterms:created>
  <dcterms:modified xsi:type="dcterms:W3CDTF">2024-11-25T13:19:00Z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3783778BD5CD4BC4B31469F680601AA5_13</vt:lpwstr>
  </property>
</Properties>
</file>