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A5F3" w14:textId="51F40454" w:rsidR="00D83B0D" w:rsidRPr="004D2E43" w:rsidRDefault="00D83B0D" w:rsidP="00D83B0D">
      <w:pPr>
        <w:rPr>
          <w:rFonts w:ascii="Times New Roman" w:hAnsi="Times New Roman"/>
          <w:b/>
          <w:sz w:val="24"/>
          <w:szCs w:val="24"/>
        </w:rPr>
      </w:pPr>
      <w:r w:rsidRPr="002117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EA511" wp14:editId="050F3F1E">
                <wp:simplePos x="0" y="0"/>
                <wp:positionH relativeFrom="column">
                  <wp:posOffset>-24765</wp:posOffset>
                </wp:positionH>
                <wp:positionV relativeFrom="paragraph">
                  <wp:posOffset>-58684</wp:posOffset>
                </wp:positionV>
                <wp:extent cx="5779770" cy="241300"/>
                <wp:effectExtent l="0" t="0" r="11430" b="25400"/>
                <wp:wrapNone/>
                <wp:docPr id="31" name="Obdélní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3DD15" id="Obdélník 31" o:spid="_x0000_s1026" style="position:absolute;margin-left:-1.95pt;margin-top:-4.6pt;width:455.1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mc+Tlt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Opakovací příklad 1 – Daň z příjmů fyzických osob </w:t>
      </w:r>
    </w:p>
    <w:p w14:paraId="6CF05329" w14:textId="79C4454D" w:rsidR="00D83B0D" w:rsidRPr="00315471" w:rsidRDefault="00D83B0D" w:rsidP="00D83B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5471">
        <w:rPr>
          <w:rFonts w:ascii="Times New Roman" w:hAnsi="Times New Roman" w:cs="Times New Roman"/>
          <w:sz w:val="24"/>
          <w:szCs w:val="24"/>
        </w:rPr>
        <w:t>Soukromá podnikatelka zabývající se vý</w:t>
      </w:r>
      <w:r>
        <w:rPr>
          <w:rFonts w:ascii="Times New Roman" w:hAnsi="Times New Roman" w:cs="Times New Roman"/>
          <w:sz w:val="24"/>
          <w:szCs w:val="24"/>
        </w:rPr>
        <w:t>robou dortů vykázala za rok 2024</w:t>
      </w:r>
      <w:r w:rsidRPr="00315471">
        <w:rPr>
          <w:rFonts w:ascii="Times New Roman" w:hAnsi="Times New Roman" w:cs="Times New Roman"/>
          <w:sz w:val="24"/>
          <w:szCs w:val="24"/>
        </w:rPr>
        <w:t xml:space="preserve"> celkové náklady ve výši 240 000 Kč. Dosáhla výnosů za 350 000 Kč. Podnikatelka vede účetnictví, uplatňuje skutečné výdaje. Částka 240 000 Kč zahrnuje daňově uznatelné náklady. </w:t>
      </w:r>
    </w:p>
    <w:p w14:paraId="5AB33DB6" w14:textId="77777777" w:rsidR="00D83B0D" w:rsidRPr="00315471" w:rsidRDefault="00D83B0D" w:rsidP="00D83B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5471">
        <w:rPr>
          <w:rFonts w:ascii="Times New Roman" w:hAnsi="Times New Roman" w:cs="Times New Roman"/>
          <w:sz w:val="24"/>
          <w:szCs w:val="24"/>
        </w:rPr>
        <w:t xml:space="preserve">Od roku 2012 si měsíčně spoří ne penzijní připojištění 1 000 Kč měsíčně. Z peněz, které má na podnikatelském účtu dosáhla úroků ve výši 3 500 Kč, z objemu hotovosti na nepodnikatelském účtu 200 Kč. </w:t>
      </w:r>
    </w:p>
    <w:p w14:paraId="295345A9" w14:textId="77777777" w:rsidR="00D83B0D" w:rsidRPr="00315471" w:rsidRDefault="00D83B0D" w:rsidP="00D83B0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5471">
        <w:rPr>
          <w:rFonts w:ascii="Times New Roman" w:hAnsi="Times New Roman" w:cs="Times New Roman"/>
          <w:sz w:val="24"/>
          <w:szCs w:val="24"/>
        </w:rPr>
        <w:t>Podnikatelka má dvě děti ve společné domácnosti (</w:t>
      </w:r>
      <w:r>
        <w:rPr>
          <w:rFonts w:ascii="Times New Roman" w:hAnsi="Times New Roman" w:cs="Times New Roman"/>
          <w:sz w:val="24"/>
          <w:szCs w:val="24"/>
        </w:rPr>
        <w:t>starší syn ukončil v červnu 2024 studium a 1.7.2024</w:t>
      </w:r>
      <w:r w:rsidRPr="00315471">
        <w:rPr>
          <w:rFonts w:ascii="Times New Roman" w:hAnsi="Times New Roman" w:cs="Times New Roman"/>
          <w:sz w:val="24"/>
          <w:szCs w:val="24"/>
        </w:rPr>
        <w:t xml:space="preserve"> nastoupil do zaměstnání). Daňové zvýhodnění na děti uplatňuje manžel podnikatelky, jehož roční příjmy dosáhly za rok 410 000 Kč. </w:t>
      </w:r>
    </w:p>
    <w:p w14:paraId="7AA4365D" w14:textId="77777777" w:rsidR="00D83B0D" w:rsidRPr="00315471" w:rsidRDefault="00D83B0D" w:rsidP="00D83B0D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315471">
        <w:rPr>
          <w:rFonts w:ascii="Times New Roman" w:hAnsi="Times New Roman"/>
          <w:sz w:val="24"/>
          <w:szCs w:val="24"/>
        </w:rPr>
        <w:t xml:space="preserve">Podnikatelka také pronajímá chatu v Beskydech, a to po celé zdaňovací období, příjmy z nájmu jsou 80 000 Kč, výdaje na dosažení, zajištění a udržení byly 35 000 Kč. </w:t>
      </w:r>
    </w:p>
    <w:p w14:paraId="08C6830D" w14:textId="77777777" w:rsidR="00D83B0D" w:rsidRPr="00315471" w:rsidRDefault="00D83B0D" w:rsidP="00D83B0D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dubnu </w:t>
      </w:r>
      <w:r w:rsidRPr="00315471">
        <w:rPr>
          <w:rFonts w:ascii="Times New Roman" w:hAnsi="Times New Roman"/>
          <w:sz w:val="24"/>
          <w:szCs w:val="24"/>
        </w:rPr>
        <w:t xml:space="preserve">darovala městu, kde bydlí 400 Kč, poskytla dar střední škole, kde studoval její starší syn 450 Kč. Vypočtěte výši daně z příjmů. </w:t>
      </w:r>
    </w:p>
    <w:p w14:paraId="429E478A" w14:textId="77777777" w:rsidR="00D83B0D" w:rsidRDefault="00D83B0D" w:rsidP="00D83B0D">
      <w:pPr>
        <w:spacing w:after="0"/>
        <w:rPr>
          <w:rFonts w:ascii="Times New Roman" w:hAnsi="Times New Roman"/>
          <w:sz w:val="24"/>
          <w:szCs w:val="24"/>
        </w:rPr>
      </w:pPr>
    </w:p>
    <w:p w14:paraId="4D2B4D5A" w14:textId="77777777" w:rsidR="00D83B0D" w:rsidRPr="002A0D86" w:rsidRDefault="00D83B0D" w:rsidP="00D83B0D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Dílčí základy daně</w:t>
      </w:r>
    </w:p>
    <w:p w14:paraId="114355D5" w14:textId="77777777" w:rsidR="00D83B0D" w:rsidRPr="002A0D86" w:rsidRDefault="00D83B0D" w:rsidP="00D83B0D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§ 6</w:t>
      </w:r>
    </w:p>
    <w:p w14:paraId="5F408194" w14:textId="77777777" w:rsidR="00D83B0D" w:rsidRPr="002A0D86" w:rsidRDefault="00D83B0D" w:rsidP="00D83B0D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§ 7</w:t>
      </w:r>
    </w:p>
    <w:p w14:paraId="48B7E341" w14:textId="77777777" w:rsidR="00D83B0D" w:rsidRPr="002A0D86" w:rsidRDefault="00D83B0D" w:rsidP="00D83B0D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§ 8</w:t>
      </w:r>
    </w:p>
    <w:p w14:paraId="5196224F" w14:textId="77777777" w:rsidR="00D83B0D" w:rsidRPr="002A0D86" w:rsidRDefault="00D83B0D" w:rsidP="00D83B0D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§ 9</w:t>
      </w:r>
    </w:p>
    <w:p w14:paraId="07AF078B" w14:textId="77777777" w:rsidR="00D83B0D" w:rsidRPr="002A0D86" w:rsidRDefault="00D83B0D" w:rsidP="00D83B0D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§ 10</w:t>
      </w:r>
    </w:p>
    <w:p w14:paraId="60C126FA" w14:textId="77777777" w:rsidR="00D83B0D" w:rsidRDefault="00D83B0D" w:rsidP="00D83B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D012999" w14:textId="55AF5C0F" w:rsidR="00D83B0D" w:rsidRPr="00887652" w:rsidRDefault="00D83B0D" w:rsidP="00D83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17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50F62" wp14:editId="385BDFE5">
                <wp:simplePos x="0" y="0"/>
                <wp:positionH relativeFrom="column">
                  <wp:posOffset>0</wp:posOffset>
                </wp:positionH>
                <wp:positionV relativeFrom="paragraph">
                  <wp:posOffset>-57150</wp:posOffset>
                </wp:positionV>
                <wp:extent cx="5779770" cy="241300"/>
                <wp:effectExtent l="0" t="0" r="11430" b="25400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33E06" id="Obdélník 10" o:spid="_x0000_s1026" style="position:absolute;margin-left:0;margin-top:-4.5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Opakovací příklad 2 </w:t>
      </w:r>
      <w:r w:rsidRPr="003A4BEF">
        <w:rPr>
          <w:rFonts w:ascii="Times New Roman" w:hAnsi="Times New Roman" w:cs="Times New Roman"/>
          <w:b/>
          <w:sz w:val="24"/>
          <w:szCs w:val="24"/>
        </w:rPr>
        <w:t xml:space="preserve">– Daň z příjmů fyzických osob </w:t>
      </w:r>
    </w:p>
    <w:p w14:paraId="60A5B82F" w14:textId="63C66E2A" w:rsidR="00D83B0D" w:rsidRDefault="00D83B0D" w:rsidP="00D83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Tomáš pracuje jako kastelán na zámku na základě uzavřené pracovní smlouvy. U svého zaměstnavatele podepsal daňové prohlášení. Měsíční výše jeho hrubé mzdy je 20 000 Kč. Vypočtěte výši čisté mzdy, kterou pan Tomáš každý měsíc obdrží na svůj účet za předpokladu, že </w:t>
      </w:r>
    </w:p>
    <w:p w14:paraId="5097C89A" w14:textId="77777777" w:rsidR="00D83B0D" w:rsidRDefault="00D83B0D" w:rsidP="00D83B0D">
      <w:pPr>
        <w:pStyle w:val="Odstavecseseznamem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 2 děti ve společné domácnosti, daňové zvýhodnění na děti uplatňuje manželka poplatníka </w:t>
      </w:r>
    </w:p>
    <w:p w14:paraId="69F79A81" w14:textId="77777777" w:rsidR="00D83B0D" w:rsidRDefault="00D83B0D" w:rsidP="00D83B0D">
      <w:pPr>
        <w:pStyle w:val="Odstavecseseznamem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Měsíčně si spoří na penzijní připojištění 500 Kč </w:t>
      </w:r>
    </w:p>
    <w:p w14:paraId="5AEF298B" w14:textId="77777777" w:rsidR="00D83B0D" w:rsidRDefault="00D83B0D" w:rsidP="00D83B0D">
      <w:pPr>
        <w:pStyle w:val="Odstavecseseznamem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měsíc zaplatí na úrocích z hypotečního úvěru 1 000 Kč </w:t>
      </w:r>
    </w:p>
    <w:p w14:paraId="24199BCE" w14:textId="77777777" w:rsidR="00D83B0D" w:rsidRDefault="00D83B0D" w:rsidP="00D83B0D">
      <w:pPr>
        <w:pStyle w:val="Odstavecseseznamem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měsíci daroval základní škole 200 Kč </w:t>
      </w:r>
    </w:p>
    <w:p w14:paraId="057AED4E" w14:textId="77777777" w:rsidR="00D83B0D" w:rsidRDefault="00D83B0D" w:rsidP="00D83B0D">
      <w:pPr>
        <w:pStyle w:val="Odstavecseseznamem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Srážka za stravné za tento měsíc je 985 Kč </w:t>
      </w:r>
    </w:p>
    <w:p w14:paraId="57EE770B" w14:textId="77777777" w:rsidR="00D83B0D" w:rsidRDefault="00D83B0D" w:rsidP="00D83B0D">
      <w:pPr>
        <w:pStyle w:val="Odstavecseseznamem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den v tomto měsíci byl na služební cestě, výše cestovní náhrady v souladu se zákoníkem práce byla 104 Kč (do limitu pro zaměstnance státní sféry)</w:t>
      </w:r>
    </w:p>
    <w:p w14:paraId="7259B331" w14:textId="77777777" w:rsidR="00D83B0D" w:rsidRDefault="00D83B0D" w:rsidP="00D83B0D">
      <w:pPr>
        <w:pStyle w:val="Odstavecseseznamem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měsíci mohl používat služební automobil i pro soukromé účely, pořizovací cena automobilu je 400 000 Kč. </w:t>
      </w:r>
    </w:p>
    <w:p w14:paraId="763C429A" w14:textId="77777777" w:rsidR="00D83B0D" w:rsidRDefault="00D83B0D" w:rsidP="00D83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D40C0E" w14:textId="77777777" w:rsidR="00D83B0D" w:rsidRDefault="00D83B0D" w:rsidP="00D83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DF1D2C" w14:textId="77777777" w:rsidR="00D83B0D" w:rsidRDefault="00D83B0D" w:rsidP="00D83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6F01A5" w14:textId="77777777" w:rsidR="00D83B0D" w:rsidRDefault="00D83B0D" w:rsidP="00D83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9EE206" w14:textId="77777777" w:rsidR="00D83B0D" w:rsidRDefault="00D83B0D" w:rsidP="00D83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51B3CE" w14:textId="77777777" w:rsidR="00D83B0D" w:rsidRDefault="00D83B0D" w:rsidP="00D83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6BC572" w14:textId="77777777" w:rsidR="00D83B0D" w:rsidRDefault="00D83B0D" w:rsidP="00D83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82778F" w14:textId="77777777" w:rsidR="00D83B0D" w:rsidRDefault="00D83B0D" w:rsidP="00D83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319E4A" w14:textId="77777777" w:rsidR="00D83B0D" w:rsidRDefault="00D83B0D" w:rsidP="00D83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9241BE" w14:textId="77777777" w:rsidR="00D83B0D" w:rsidRDefault="00D83B0D" w:rsidP="00D83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F0ED17" w14:textId="77777777" w:rsidR="00D83B0D" w:rsidRDefault="00D83B0D" w:rsidP="00D83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C467BF" w14:textId="77777777" w:rsidR="00D83B0D" w:rsidRDefault="00D83B0D" w:rsidP="00D83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CCBC71" w14:textId="77777777" w:rsidR="00D83B0D" w:rsidRDefault="00D83B0D" w:rsidP="00D83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65FB6A" w14:textId="77777777" w:rsidR="00D83B0D" w:rsidRDefault="00D83B0D" w:rsidP="00D83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6AEC79" w14:textId="77777777" w:rsidR="00D83B0D" w:rsidRDefault="00D83B0D" w:rsidP="00D83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32D1D0" w14:textId="77777777" w:rsidR="008F5EF5" w:rsidRDefault="008F5EF5"/>
    <w:p w14:paraId="3494B377" w14:textId="77777777" w:rsidR="00D83B0D" w:rsidRDefault="00D83B0D"/>
    <w:p w14:paraId="2089C88D" w14:textId="77777777" w:rsidR="00D83B0D" w:rsidRDefault="00D83B0D"/>
    <w:p w14:paraId="7A328003" w14:textId="77777777" w:rsidR="00D83B0D" w:rsidRDefault="00D83B0D"/>
    <w:p w14:paraId="28F3ED68" w14:textId="77777777" w:rsidR="00D83B0D" w:rsidRDefault="00D83B0D"/>
    <w:p w14:paraId="3897454E" w14:textId="77777777" w:rsidR="00D83B0D" w:rsidRDefault="00D83B0D"/>
    <w:p w14:paraId="2BB4C71D" w14:textId="77777777" w:rsidR="00D83B0D" w:rsidRDefault="00D83B0D"/>
    <w:p w14:paraId="3A8B4C9F" w14:textId="77777777" w:rsidR="00D83B0D" w:rsidRDefault="00D83B0D"/>
    <w:p w14:paraId="2D7F4967" w14:textId="77777777" w:rsidR="00610738" w:rsidRDefault="00610738" w:rsidP="00D83B0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2C94224" w14:textId="77777777" w:rsidR="00D83B0D" w:rsidRDefault="00D83B0D" w:rsidP="00D83B0D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D83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F3C70"/>
    <w:multiLevelType w:val="hybridMultilevel"/>
    <w:tmpl w:val="BDE0B334"/>
    <w:lvl w:ilvl="0" w:tplc="576C1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6C9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D0F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92E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AA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F4F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3A1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9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7EA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8664D0"/>
    <w:multiLevelType w:val="hybridMultilevel"/>
    <w:tmpl w:val="817868CC"/>
    <w:lvl w:ilvl="0" w:tplc="28AEEA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504688">
    <w:abstractNumId w:val="0"/>
  </w:num>
  <w:num w:numId="2" w16cid:durableId="228926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0D"/>
    <w:rsid w:val="000C7B97"/>
    <w:rsid w:val="00610738"/>
    <w:rsid w:val="008F5EF5"/>
    <w:rsid w:val="00D8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6A82"/>
  <w15:chartTrackingRefBased/>
  <w15:docId w15:val="{8AA9E91F-FF75-4BB9-9131-58BA2461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3B0D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3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Krajňák Michal</dc:creator>
  <cp:keywords/>
  <dc:description/>
  <cp:lastModifiedBy>Krajňák Michal</cp:lastModifiedBy>
  <cp:revision>3</cp:revision>
  <dcterms:created xsi:type="dcterms:W3CDTF">2024-11-23T08:27:00Z</dcterms:created>
  <dcterms:modified xsi:type="dcterms:W3CDTF">2024-11-23T09:40:00Z</dcterms:modified>
</cp:coreProperties>
</file>