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BA" w:rsidRDefault="009C794F" w:rsidP="009C794F">
      <w:pPr>
        <w:spacing w:before="150" w:after="0" w:line="240" w:lineRule="auto"/>
        <w:jc w:val="center"/>
        <w:rPr>
          <w:rFonts w:ascii="Times New Roman" w:eastAsia="+mn-ea" w:hAnsi="Times New Roman" w:cs="Times New Roman"/>
          <w:b/>
          <w:bCs/>
          <w:color w:val="313131"/>
          <w:kern w:val="24"/>
          <w:sz w:val="32"/>
          <w:szCs w:val="32"/>
          <w:lang w:eastAsia="cs-CZ"/>
        </w:rPr>
      </w:pPr>
      <w:r w:rsidRPr="009C794F">
        <w:rPr>
          <w:rFonts w:ascii="Times New Roman" w:eastAsia="+mn-ea" w:hAnsi="Times New Roman" w:cs="Times New Roman"/>
          <w:b/>
          <w:bCs/>
          <w:color w:val="313131"/>
          <w:kern w:val="24"/>
          <w:sz w:val="32"/>
          <w:szCs w:val="32"/>
          <w:lang w:eastAsia="cs-CZ"/>
        </w:rPr>
        <w:t>Okruhy (otázky</w:t>
      </w:r>
      <w:r>
        <w:rPr>
          <w:rFonts w:ascii="Times New Roman" w:eastAsia="+mn-ea" w:hAnsi="Times New Roman" w:cs="Times New Roman"/>
          <w:b/>
          <w:bCs/>
          <w:color w:val="313131"/>
          <w:kern w:val="24"/>
          <w:sz w:val="32"/>
          <w:szCs w:val="32"/>
          <w:lang w:eastAsia="cs-CZ"/>
        </w:rPr>
        <w:t>)</w:t>
      </w:r>
      <w:r w:rsidRPr="009C794F">
        <w:rPr>
          <w:rFonts w:ascii="Times New Roman" w:eastAsia="+mn-ea" w:hAnsi="Times New Roman" w:cs="Times New Roman"/>
          <w:b/>
          <w:bCs/>
          <w:color w:val="313131"/>
          <w:kern w:val="24"/>
          <w:sz w:val="32"/>
          <w:szCs w:val="32"/>
          <w:lang w:eastAsia="cs-CZ"/>
        </w:rPr>
        <w:t xml:space="preserve"> ke zkoušce</w:t>
      </w:r>
    </w:p>
    <w:p w:rsidR="0071334F" w:rsidRDefault="009C794F" w:rsidP="009270D1">
      <w:pPr>
        <w:spacing w:before="150" w:after="0" w:line="240" w:lineRule="auto"/>
        <w:jc w:val="center"/>
        <w:rPr>
          <w:rFonts w:ascii="Times New Roman" w:eastAsia="+mn-ea" w:hAnsi="Times New Roman" w:cs="Times New Roman"/>
          <w:b/>
          <w:bCs/>
          <w:color w:val="313131"/>
          <w:kern w:val="24"/>
          <w:sz w:val="28"/>
          <w:szCs w:val="28"/>
          <w:lang w:eastAsia="cs-CZ"/>
        </w:rPr>
      </w:pP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sz w:val="28"/>
          <w:szCs w:val="28"/>
          <w:lang w:eastAsia="cs-CZ"/>
        </w:rPr>
        <w:t>Hospodářská politika a regionální rozvoj</w:t>
      </w:r>
    </w:p>
    <w:p w:rsidR="00CE18BA" w:rsidRPr="0071334F" w:rsidRDefault="00CE18BA" w:rsidP="009270D1">
      <w:pPr>
        <w:spacing w:before="150" w:after="0" w:line="240" w:lineRule="auto"/>
        <w:jc w:val="center"/>
        <w:rPr>
          <w:rFonts w:ascii="Times New Roman" w:eastAsia="+mn-ea" w:hAnsi="Times New Roman" w:cs="Times New Roman"/>
          <w:b/>
          <w:bCs/>
          <w:color w:val="313131"/>
          <w:kern w:val="24"/>
          <w:sz w:val="24"/>
          <w:szCs w:val="24"/>
          <w:lang w:eastAsia="cs-CZ"/>
        </w:rPr>
      </w:pPr>
      <w:r w:rsidRPr="0071334F">
        <w:rPr>
          <w:rFonts w:ascii="Times New Roman" w:eastAsia="+mn-ea" w:hAnsi="Times New Roman" w:cs="Times New Roman"/>
          <w:b/>
          <w:bCs/>
          <w:color w:val="313131"/>
          <w:kern w:val="24"/>
          <w:sz w:val="24"/>
          <w:szCs w:val="24"/>
          <w:lang w:eastAsia="cs-CZ"/>
        </w:rPr>
        <w:t>Akademický rok 2024/2025</w:t>
      </w:r>
    </w:p>
    <w:p w:rsidR="009270D1" w:rsidRPr="0071334F" w:rsidRDefault="009270D1" w:rsidP="00936477">
      <w:pPr>
        <w:spacing w:before="120" w:after="0" w:line="240" w:lineRule="auto"/>
        <w:jc w:val="center"/>
        <w:rPr>
          <w:rFonts w:ascii="Times New Roman" w:eastAsia="+mn-ea" w:hAnsi="Times New Roman" w:cs="Times New Roman"/>
          <w:b/>
          <w:bCs/>
          <w:color w:val="313131"/>
          <w:kern w:val="24"/>
          <w:sz w:val="24"/>
          <w:szCs w:val="24"/>
          <w:lang w:eastAsia="cs-CZ"/>
        </w:rPr>
      </w:pPr>
      <w:r w:rsidRPr="0071334F">
        <w:rPr>
          <w:rFonts w:ascii="Times New Roman" w:eastAsia="+mn-ea" w:hAnsi="Times New Roman" w:cs="Times New Roman"/>
          <w:b/>
          <w:bCs/>
          <w:color w:val="313131"/>
          <w:kern w:val="24"/>
          <w:sz w:val="24"/>
          <w:szCs w:val="24"/>
          <w:lang w:eastAsia="cs-CZ"/>
        </w:rPr>
        <w:t>Zkoušející: doc. Ing. Martina Halásková, Ph.D.</w:t>
      </w:r>
    </w:p>
    <w:p w:rsidR="00936477" w:rsidRDefault="00936477" w:rsidP="00CE18BA">
      <w:pPr>
        <w:spacing w:before="120" w:after="0" w:line="240" w:lineRule="auto"/>
        <w:jc w:val="both"/>
        <w:rPr>
          <w:rFonts w:ascii="Times New Roman" w:eastAsia="+mn-ea" w:hAnsi="Times New Roman" w:cs="Times New Roman"/>
          <w:b/>
          <w:bCs/>
          <w:color w:val="313131"/>
          <w:kern w:val="24"/>
          <w:sz w:val="24"/>
          <w:szCs w:val="24"/>
          <w:lang w:eastAsia="cs-CZ"/>
        </w:rPr>
      </w:pPr>
    </w:p>
    <w:p w:rsidR="009C794F" w:rsidRPr="00936477" w:rsidRDefault="009C794F" w:rsidP="00CE18BA">
      <w:pPr>
        <w:spacing w:before="120" w:after="0" w:line="240" w:lineRule="auto"/>
        <w:jc w:val="both"/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</w:pP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1.Teoretické a praktické základy hospodářské politiky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-charakteristika HP, typy hospodářské politiky, cíle, magický čtyřúhelník, nástroje,</w:t>
      </w: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 xml:space="preserve"> 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kritéria členění nástrojů, nositelé HP</w:t>
      </w:r>
      <w:r w:rsidR="008B483D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.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</w:t>
      </w: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 xml:space="preserve"> </w:t>
      </w:r>
    </w:p>
    <w:p w:rsidR="009C794F" w:rsidRPr="00936477" w:rsidRDefault="009C794F" w:rsidP="00CE18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2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.</w:t>
      </w: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Ekonomický (hospodářský) růst a jeho zdroje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-</w:t>
      </w:r>
      <w:r w:rsidR="00FD458A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charakteristika hospodářského růstu,</w:t>
      </w:r>
      <w:r w:rsidR="00FD458A" w:rsidRPr="00936477">
        <w:rPr>
          <w:b/>
        </w:rPr>
        <w:t xml:space="preserve"> </w:t>
      </w:r>
      <w:r w:rsidR="00FD458A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zdroje růstu potenciálního produktu, měření, tempo růstu a koeficient růstu</w:t>
      </w:r>
      <w:r w:rsidR="008B483D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.</w:t>
      </w:r>
      <w:r w:rsidR="00FD458A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 </w:t>
      </w:r>
    </w:p>
    <w:p w:rsidR="009C794F" w:rsidRPr="00936477" w:rsidRDefault="009C794F" w:rsidP="00CE18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3.Smíšená ekonomika: důvody a důsledky státních zásahů</w:t>
      </w:r>
      <w:r w:rsidR="00042C69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-</w:t>
      </w:r>
      <w:r w:rsidR="00042C69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c</w:t>
      </w:r>
      <w:r w:rsidR="00313496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harakterizujte smíšenou ekonomiku</w:t>
      </w:r>
      <w:r w:rsidR="00042C69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,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</w:t>
      </w:r>
      <w:r w:rsidR="005151D0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příčiny selhání trhu-příčiny existence veřejného sektoru</w:t>
      </w:r>
      <w:r w:rsidR="00042C69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,</w:t>
      </w:r>
      <w:r w:rsidR="00042C69" w:rsidRPr="00936477">
        <w:rPr>
          <w:b/>
        </w:rPr>
        <w:t xml:space="preserve"> </w:t>
      </w:r>
      <w:r w:rsidR="00042C69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oblasti státních zásahů, vládní selhání</w:t>
      </w:r>
      <w:r w:rsidR="008B483D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, </w:t>
      </w:r>
      <w:r w:rsidR="00936477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uveďte </w:t>
      </w:r>
      <w:r w:rsidR="008B483D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příklady</w:t>
      </w:r>
      <w:r w:rsidR="00042C69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</w:t>
      </w:r>
    </w:p>
    <w:p w:rsidR="00042C69" w:rsidRPr="00936477" w:rsidRDefault="00042C69" w:rsidP="00CE18BA">
      <w:pPr>
        <w:spacing w:before="120" w:after="0" w:line="240" w:lineRule="auto"/>
        <w:jc w:val="both"/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</w:pP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4.Veřejný sektor-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význam veřejného sektoru, trojúhelní</w:t>
      </w:r>
      <w:r w:rsidR="009270D1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k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ový model NH (jeho kritéria a sektory), veřejný sektor příklady odvětví NH, velikost veřejného sektoru, faktory ovlivňující veřejný sektor</w:t>
      </w:r>
    </w:p>
    <w:p w:rsidR="009C794F" w:rsidRPr="00936477" w:rsidRDefault="00042C69" w:rsidP="00CE18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5</w:t>
      </w:r>
      <w:r w:rsidR="009C794F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.</w:t>
      </w:r>
      <w:r w:rsidR="009C794F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Regionální politika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-charakteristika, principy, cíle, nástroje, cíle regionální politiky</w:t>
      </w:r>
      <w:r w:rsid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2021-2027, klasifikace</w:t>
      </w:r>
      <w:r w:rsidR="004773E1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regionů, kritéria členění regionů</w:t>
      </w:r>
      <w:r w:rsidR="00CE18BA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, regiony soudržnosti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</w:t>
      </w:r>
    </w:p>
    <w:p w:rsidR="004773E1" w:rsidRPr="00936477" w:rsidRDefault="004773E1" w:rsidP="00CE18BA">
      <w:pPr>
        <w:spacing w:before="120" w:after="0" w:line="240" w:lineRule="auto"/>
        <w:jc w:val="both"/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</w:pP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6</w:t>
      </w:r>
      <w:r w:rsidR="009C794F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.</w:t>
      </w:r>
      <w:r w:rsidR="00042C69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F</w:t>
      </w:r>
      <w:r w:rsidR="009C794F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ondy EU</w:t>
      </w:r>
      <w:r w:rsidR="00042C69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-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způsoby řízení finančních prostředků z EU,</w:t>
      </w: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 xml:space="preserve"> 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strukturální a investiční fondy, další fondy EU</w:t>
      </w:r>
      <w:r w:rsidR="008B483D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, 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komunitární (unijní)</w:t>
      </w:r>
      <w:r w:rsidR="008B483D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fondy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, </w:t>
      </w:r>
      <w:proofErr w:type="spellStart"/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tématické</w:t>
      </w:r>
      <w:proofErr w:type="spellEnd"/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oblasti</w:t>
      </w:r>
      <w:r w:rsidR="008B483D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unijních fondů,</w:t>
      </w:r>
      <w:bookmarkStart w:id="0" w:name="_GoBack"/>
      <w:bookmarkEnd w:id="0"/>
      <w:r w:rsidR="00C96DD8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příklady.</w:t>
      </w:r>
    </w:p>
    <w:p w:rsidR="009C794F" w:rsidRPr="00936477" w:rsidRDefault="004773E1" w:rsidP="00CE18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 xml:space="preserve">7. </w:t>
      </w:r>
      <w:r w:rsidR="0094578E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 xml:space="preserve"> Fondy EU v ČR, </w:t>
      </w:r>
      <w:r w:rsidRPr="0094578E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Operační programy </w:t>
      </w:r>
      <w:r w:rsidR="008B483D" w:rsidRPr="0094578E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v</w:t>
      </w:r>
      <w:r w:rsidR="0094578E" w:rsidRPr="0094578E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 </w:t>
      </w:r>
      <w:r w:rsidRPr="0094578E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ČR</w:t>
      </w:r>
      <w:r w:rsidR="0094578E" w:rsidRPr="0094578E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(</w:t>
      </w:r>
      <w:r w:rsidRPr="0094578E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2021-2027</w:t>
      </w:r>
      <w:r w:rsidR="0094578E" w:rsidRPr="0094578E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),</w:t>
      </w:r>
      <w:r w:rsidR="00BF6FC4" w:rsidRPr="0094578E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p</w:t>
      </w:r>
      <w:r w:rsidR="00BF6FC4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říklady OP,</w:t>
      </w:r>
      <w:r w:rsidR="00BF6FC4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 xml:space="preserve"> </w:t>
      </w:r>
      <w:r w:rsidR="0094578E" w:rsidRPr="0094578E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fondy EU a</w:t>
      </w:r>
      <w:r w:rsidR="0094578E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 xml:space="preserve"> </w:t>
      </w:r>
      <w:r w:rsidR="009C794F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územní dimenze</w:t>
      </w:r>
      <w:r w:rsidR="008B483D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v </w:t>
      </w:r>
      <w:r w:rsidR="00042C69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OP</w:t>
      </w:r>
      <w:r w:rsidR="00BF6FC4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.</w:t>
      </w:r>
      <w:r w:rsidR="00042C69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</w:t>
      </w:r>
    </w:p>
    <w:p w:rsidR="009C794F" w:rsidRPr="00936477" w:rsidRDefault="006832D7" w:rsidP="00CE18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8</w:t>
      </w:r>
      <w:r w:rsidR="009C794F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.</w:t>
      </w:r>
      <w:r w:rsidR="004773E1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Regionální rozvoj</w:t>
      </w:r>
      <w:r w:rsidR="004773E1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-charakteristika,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</w:t>
      </w:r>
      <w:r w:rsidR="004773E1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zdroje regionálního rozvoje, </w:t>
      </w:r>
      <w:r w:rsidR="009C794F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Strategie</w:t>
      </w:r>
      <w:r w:rsidR="004773E1" w:rsidRPr="00936477">
        <w:rPr>
          <w:b/>
        </w:rPr>
        <w:t xml:space="preserve"> </w:t>
      </w:r>
      <w:r w:rsidR="004773E1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regionálního rozvoje 2021</w:t>
      </w:r>
      <w:r w:rsidR="004773E1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+</w:t>
      </w:r>
      <w:r w:rsidR="009C794F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, </w:t>
      </w:r>
      <w:r w:rsidR="004773E1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aktéři a </w:t>
      </w:r>
      <w:r w:rsidR="009C794F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indikátory regionálního rozvoje</w:t>
      </w:r>
      <w:r w:rsidR="004773E1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,</w:t>
      </w:r>
      <w:r w:rsidR="008B483D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jejich</w:t>
      </w:r>
      <w:r w:rsidR="004773E1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příklady</w:t>
      </w:r>
      <w:r w:rsidR="008B483D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.</w:t>
      </w:r>
      <w:r w:rsidR="004773E1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</w:t>
      </w:r>
    </w:p>
    <w:p w:rsidR="006832D7" w:rsidRPr="00936477" w:rsidRDefault="006832D7" w:rsidP="00CE18BA">
      <w:pPr>
        <w:spacing w:before="120" w:after="0" w:line="240" w:lineRule="auto"/>
        <w:jc w:val="both"/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</w:pP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9</w:t>
      </w:r>
      <w:r w:rsidR="009C794F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.</w:t>
      </w:r>
      <w:r w:rsidR="009C794F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</w:t>
      </w:r>
      <w:r w:rsidR="009C794F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Podnikatelské prostředí v kontext regionálního uspořádání Č</w:t>
      </w:r>
      <w:r w:rsidR="007A57C8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R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-podnikatelské prostředí jako indikátor rozvoje území, výchozí teorie, faktory kvality podnikatelského prostředí, příklady.</w:t>
      </w:r>
    </w:p>
    <w:p w:rsidR="006832D7" w:rsidRPr="00936477" w:rsidRDefault="006832D7" w:rsidP="00CE18BA">
      <w:pPr>
        <w:spacing w:before="120" w:after="0" w:line="240" w:lineRule="auto"/>
        <w:jc w:val="both"/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</w:pP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10</w:t>
      </w:r>
      <w:r w:rsidR="009C794F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.</w:t>
      </w:r>
      <w:r w:rsidR="009C794F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</w:t>
      </w:r>
      <w:r w:rsidR="009C794F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Regionální konkurenceschopnost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-pojetí a typy konkurenceschopnosti, zdroje a faktory regionální konkurenceschopnosti.</w:t>
      </w:r>
    </w:p>
    <w:p w:rsidR="0094578E" w:rsidRDefault="006832D7" w:rsidP="00CE18BA">
      <w:pPr>
        <w:spacing w:before="120" w:after="0" w:line="240" w:lineRule="auto"/>
        <w:jc w:val="both"/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</w:pP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11.</w:t>
      </w:r>
      <w:r w:rsidR="007A57C8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 xml:space="preserve"> </w:t>
      </w: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I</w:t>
      </w:r>
      <w:r w:rsidR="009C794F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novační a výzkumný potenciál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-</w:t>
      </w:r>
      <w:r w:rsidR="0056657E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výzkum a vývoj, </w:t>
      </w:r>
      <w:r w:rsidR="0056657E" w:rsidRPr="0056657E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v</w:t>
      </w:r>
      <w:proofErr w:type="spellStart"/>
      <w:r w:rsidR="0056657E" w:rsidRPr="0056657E">
        <w:rPr>
          <w:rFonts w:ascii="Times New Roman" w:eastAsia="+mj-ea" w:hAnsi="Times New Roman" w:cs="Times New Roman"/>
          <w:bCs/>
          <w:color w:val="000000" w:themeColor="text1"/>
          <w:kern w:val="24"/>
          <w:position w:val="1"/>
        </w:rPr>
        <w:t>ýzkumná</w:t>
      </w:r>
      <w:proofErr w:type="spellEnd"/>
      <w:r w:rsidR="0056657E" w:rsidRPr="0056657E">
        <w:rPr>
          <w:rFonts w:ascii="Times New Roman" w:eastAsia="+mj-ea" w:hAnsi="Times New Roman" w:cs="Times New Roman"/>
          <w:bCs/>
          <w:color w:val="000000" w:themeColor="text1"/>
          <w:kern w:val="24"/>
          <w:position w:val="1"/>
        </w:rPr>
        <w:t xml:space="preserve"> a inovační strategie pro inteligentní specializaci</w:t>
      </w:r>
      <w:r w:rsidR="0056657E" w:rsidRPr="0056657E">
        <w:rPr>
          <w:rFonts w:ascii="Times New Roman" w:eastAsia="+mj-ea" w:hAnsi="Times New Roman" w:cs="Times New Roman"/>
          <w:bCs/>
          <w:color w:val="000000" w:themeColor="text1"/>
          <w:kern w:val="24"/>
          <w:position w:val="1"/>
        </w:rPr>
        <w:t xml:space="preserve"> </w:t>
      </w:r>
      <w:r w:rsidRPr="0056657E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(RIS), </w:t>
      </w:r>
      <w:r w:rsidR="0094578E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výzkumný a inovační potenci</w:t>
      </w:r>
      <w:r w:rsidR="0094578E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á</w:t>
      </w:r>
      <w:r w:rsidR="0094578E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l</w:t>
      </w:r>
      <w:r w:rsidR="0094578E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krajů,</w:t>
      </w:r>
      <w:r w:rsidR="0094578E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</w:t>
      </w:r>
      <w:r w:rsidRPr="0056657E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indikátory výzkumného a inovačního potenciálu </w:t>
      </w:r>
    </w:p>
    <w:p w:rsidR="009C794F" w:rsidRPr="00936477" w:rsidRDefault="006832D7" w:rsidP="00CE18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12</w:t>
      </w:r>
      <w:r w:rsidR="009C794F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.</w:t>
      </w:r>
      <w:r w:rsidR="009C794F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</w:t>
      </w:r>
      <w:r w:rsidR="009C794F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Udržitelný rozvoj</w:t>
      </w: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-</w:t>
      </w:r>
      <w:r w:rsidR="009C794F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východiska </w:t>
      </w:r>
      <w:r w:rsidR="00BF6FC4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a charakteristika, silná a slabá udržitelnost, pilíře (dimenze) udržitelného rozvoje, </w:t>
      </w:r>
      <w:r w:rsidR="008B483D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principy, </w:t>
      </w:r>
      <w:r w:rsidR="00BF6FC4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nástroje udržitelného rozvoje na místní úrovni v ČR</w:t>
      </w:r>
    </w:p>
    <w:p w:rsidR="009C794F" w:rsidRPr="00936477" w:rsidRDefault="009C794F" w:rsidP="00CE18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1</w:t>
      </w:r>
      <w:r w:rsidR="006832D7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3</w:t>
      </w: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.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</w:t>
      </w: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Udržitelný rozvoj</w:t>
      </w:r>
      <w:r w:rsidR="008B483D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 xml:space="preserve"> na místní úrovni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-</w:t>
      </w:r>
      <w:r w:rsidR="008B483D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východiska, </w:t>
      </w:r>
      <w:r w:rsidR="007A57C8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e</w:t>
      </w:r>
      <w:r w:rsidR="00BF6FC4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konomické </w:t>
      </w:r>
      <w:r w:rsidR="007A57C8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(</w:t>
      </w:r>
      <w:r w:rsidR="00BF6FC4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finanční</w:t>
      </w:r>
      <w:r w:rsidR="007A57C8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)</w:t>
      </w:r>
      <w:r w:rsidR="008B483D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plánování</w:t>
      </w:r>
      <w:r w:rsidR="00BF6FC4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, 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územní plánování, </w:t>
      </w:r>
      <w:r w:rsidR="00BF6FC4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strategické plánování, 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strategické řízení</w:t>
      </w:r>
      <w:r w:rsidR="007A57C8" w:rsidRPr="00936477">
        <w:rPr>
          <w:b/>
          <w:color w:val="000000" w:themeColor="text1"/>
        </w:rPr>
        <w:t xml:space="preserve">, </w:t>
      </w:r>
      <w:r w:rsidR="007A57C8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politika územního rozvoje ČR, rozvojové oblasti a osy, jejich příklady.</w:t>
      </w:r>
    </w:p>
    <w:p w:rsidR="009C794F" w:rsidRPr="00936477" w:rsidRDefault="009C794F" w:rsidP="0056657E">
      <w:pPr>
        <w:spacing w:before="120" w:after="0" w:line="240" w:lineRule="auto"/>
        <w:jc w:val="both"/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</w:pP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1</w:t>
      </w:r>
      <w:r w:rsidR="006832D7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4</w:t>
      </w: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.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</w:t>
      </w: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Působnost a hospodaření krajů České republiky</w:t>
      </w:r>
      <w:r w:rsidR="00CE18BA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-</w:t>
      </w:r>
      <w:r w:rsidR="007A57C8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krajská samospráva, její kompetence, </w:t>
      </w:r>
      <w:r w:rsidR="00CE18BA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zdroje financování územních samosprávných celků, příjmy a výdaje krajů, finanční kontrola, její podsystémy </w:t>
      </w:r>
    </w:p>
    <w:p w:rsidR="00CE18BA" w:rsidRPr="00936477" w:rsidRDefault="009C794F" w:rsidP="00CE18BA">
      <w:pPr>
        <w:spacing w:before="120"/>
        <w:jc w:val="both"/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</w:pP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1</w:t>
      </w:r>
      <w:r w:rsidR="006832D7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5</w:t>
      </w: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.</w:t>
      </w:r>
      <w:r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</w:t>
      </w:r>
      <w:r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>Postavení vybraných odvětví národního hospodářství a jejich regionální rozměr</w:t>
      </w:r>
      <w:r w:rsidR="00CE18BA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-kritéria</w:t>
      </w:r>
      <w:r w:rsidR="00697484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 </w:t>
      </w:r>
      <w:r w:rsidR="00CE18BA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členění NH, </w:t>
      </w:r>
      <w:r w:rsidR="00405FB0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klasifikace NACE, COFOG, </w:t>
      </w:r>
      <w:r w:rsidR="00CE18BA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typy sektorů dle vlastnictví a financování, veřejný sektor a potřeby, bloky potřeb ve VS, </w:t>
      </w:r>
      <w:r w:rsidR="00405FB0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ú</w:t>
      </w:r>
      <w:r w:rsidR="00C60D62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 xml:space="preserve">loha odvětví NH, </w:t>
      </w:r>
      <w:r w:rsidR="00CE18BA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regionální rozměr odvětví,</w:t>
      </w:r>
      <w:r w:rsidR="00CE18BA" w:rsidRPr="00936477">
        <w:rPr>
          <w:rFonts w:ascii="Times New Roman" w:eastAsia="+mn-ea" w:hAnsi="Times New Roman" w:cs="Times New Roman"/>
          <w:b/>
          <w:bCs/>
          <w:color w:val="313131"/>
          <w:kern w:val="24"/>
          <w:lang w:eastAsia="cs-CZ"/>
        </w:rPr>
        <w:t xml:space="preserve"> </w:t>
      </w:r>
      <w:r w:rsidR="00CE18BA" w:rsidRPr="00936477">
        <w:rPr>
          <w:rFonts w:ascii="Times New Roman" w:eastAsia="+mn-ea" w:hAnsi="Times New Roman" w:cs="Times New Roman"/>
          <w:bCs/>
          <w:color w:val="313131"/>
          <w:kern w:val="24"/>
          <w:lang w:eastAsia="cs-CZ"/>
        </w:rPr>
        <w:t>příklady odvětví.</w:t>
      </w:r>
    </w:p>
    <w:p w:rsidR="009270D1" w:rsidRPr="00936477" w:rsidRDefault="009270D1" w:rsidP="00CE18BA">
      <w:pPr>
        <w:spacing w:before="120"/>
        <w:rPr>
          <w:rFonts w:ascii="Times New Roman" w:eastAsia="+mn-ea" w:hAnsi="Times New Roman" w:cs="Times New Roman"/>
          <w:bCs/>
          <w:color w:val="313131"/>
          <w:kern w:val="24"/>
          <w:sz w:val="24"/>
          <w:szCs w:val="24"/>
          <w:lang w:eastAsia="cs-CZ"/>
        </w:rPr>
      </w:pPr>
    </w:p>
    <w:p w:rsidR="00CE18BA" w:rsidRPr="00CE18BA" w:rsidRDefault="00CE18BA" w:rsidP="00CE18BA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bCs/>
          <w:color w:val="313131"/>
          <w:kern w:val="24"/>
          <w:sz w:val="24"/>
          <w:szCs w:val="24"/>
          <w:lang w:eastAsia="cs-CZ"/>
        </w:rPr>
        <w:t>V Olomouci 6.12.2024</w:t>
      </w:r>
    </w:p>
    <w:sectPr w:rsidR="00CE18BA" w:rsidRPr="00CE1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4F"/>
    <w:rsid w:val="00042C69"/>
    <w:rsid w:val="00131C29"/>
    <w:rsid w:val="00313496"/>
    <w:rsid w:val="00392586"/>
    <w:rsid w:val="00405FB0"/>
    <w:rsid w:val="004773E1"/>
    <w:rsid w:val="005151D0"/>
    <w:rsid w:val="0056657E"/>
    <w:rsid w:val="006832D7"/>
    <w:rsid w:val="00697484"/>
    <w:rsid w:val="0071334F"/>
    <w:rsid w:val="007A57C8"/>
    <w:rsid w:val="008B483D"/>
    <w:rsid w:val="009270D1"/>
    <w:rsid w:val="00936477"/>
    <w:rsid w:val="0094578E"/>
    <w:rsid w:val="009C794F"/>
    <w:rsid w:val="00A216DB"/>
    <w:rsid w:val="00AD7F9C"/>
    <w:rsid w:val="00BF6FC4"/>
    <w:rsid w:val="00C60D62"/>
    <w:rsid w:val="00C96DD8"/>
    <w:rsid w:val="00CE18BA"/>
    <w:rsid w:val="00CE2034"/>
    <w:rsid w:val="00F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CBFB"/>
  <w15:chartTrackingRefBased/>
  <w15:docId w15:val="{CDD818A5-E839-449D-BC4D-C63A07FA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F5744-F082-466F-9783-3ABDF6B0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 TUO Ekonomická fakulta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Halaskova Martina</dc:creator>
  <cp:keywords/>
  <dc:description/>
  <cp:lastModifiedBy>Halaskova Martina</cp:lastModifiedBy>
  <cp:revision>12</cp:revision>
  <dcterms:created xsi:type="dcterms:W3CDTF">2024-12-05T16:46:00Z</dcterms:created>
  <dcterms:modified xsi:type="dcterms:W3CDTF">2024-12-08T17:01:00Z</dcterms:modified>
</cp:coreProperties>
</file>