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F262A" w14:textId="77777777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Otázky ke zkoušce z předmětu XFU1 a YFU1</w:t>
      </w:r>
    </w:p>
    <w:p w14:paraId="31B81830" w14:textId="6834D5A8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7E0598">
        <w:rPr>
          <w:b/>
          <w:sz w:val="28"/>
        </w:rPr>
        <w:t>3</w:t>
      </w:r>
      <w:r>
        <w:rPr>
          <w:b/>
          <w:sz w:val="28"/>
        </w:rPr>
        <w:t>/202</w:t>
      </w:r>
      <w:r w:rsidR="007E0598">
        <w:rPr>
          <w:b/>
          <w:sz w:val="28"/>
        </w:rPr>
        <w:t>4</w:t>
      </w:r>
      <w:r>
        <w:rPr>
          <w:b/>
          <w:sz w:val="28"/>
        </w:rPr>
        <w:t>)</w:t>
      </w:r>
    </w:p>
    <w:p w14:paraId="7E84B7E2" w14:textId="77777777" w:rsidR="003D4420" w:rsidRDefault="003D4420" w:rsidP="003D4420">
      <w:pPr>
        <w:rPr>
          <w:sz w:val="24"/>
        </w:rPr>
      </w:pPr>
    </w:p>
    <w:p w14:paraId="1AE37420" w14:textId="29BADDA5" w:rsidR="0094350A" w:rsidRPr="00E35A73" w:rsidRDefault="0094350A" w:rsidP="0094350A">
      <w:pPr>
        <w:spacing w:after="0"/>
        <w:jc w:val="both"/>
        <w:rPr>
          <w:sz w:val="24"/>
          <w:szCs w:val="24"/>
        </w:rPr>
      </w:pPr>
      <w:r w:rsidRPr="00E35A73">
        <w:rPr>
          <w:sz w:val="24"/>
          <w:szCs w:val="24"/>
        </w:rPr>
        <w:t xml:space="preserve">Při zkoušce jsou hodnoceny znalosti z předmětu Finanční účetnictví 1. </w:t>
      </w:r>
      <w:r>
        <w:rPr>
          <w:sz w:val="24"/>
          <w:szCs w:val="24"/>
        </w:rPr>
        <w:t xml:space="preserve">Každá otázka je hodnocena maximálně 30 body. K úspěšnému vykonání zkoušky je nutno </w:t>
      </w:r>
      <w:r>
        <w:rPr>
          <w:sz w:val="24"/>
          <w:szCs w:val="24"/>
        </w:rPr>
        <w:t>získat dohromady nejméně 30 bodů z</w:t>
      </w:r>
      <w:r>
        <w:rPr>
          <w:sz w:val="24"/>
          <w:szCs w:val="24"/>
        </w:rPr>
        <w:t xml:space="preserve"> maximální</w:t>
      </w:r>
      <w:r>
        <w:rPr>
          <w:sz w:val="24"/>
          <w:szCs w:val="24"/>
        </w:rPr>
        <w:t xml:space="preserve">ho počtu </w:t>
      </w:r>
      <w:r>
        <w:rPr>
          <w:sz w:val="24"/>
          <w:szCs w:val="24"/>
        </w:rPr>
        <w:t>60</w:t>
      </w:r>
      <w:r>
        <w:rPr>
          <w:sz w:val="24"/>
          <w:szCs w:val="24"/>
        </w:rPr>
        <w:t xml:space="preserve"> bodů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Losovány jsou celkem 2 otázky.</w:t>
      </w:r>
    </w:p>
    <w:p w14:paraId="22EAA859" w14:textId="77777777" w:rsidR="0094350A" w:rsidRPr="00B34862" w:rsidRDefault="0094350A" w:rsidP="0094350A">
      <w:pPr>
        <w:spacing w:after="0"/>
        <w:rPr>
          <w:sz w:val="12"/>
          <w:szCs w:val="24"/>
        </w:rPr>
      </w:pPr>
    </w:p>
    <w:p w14:paraId="1F492511" w14:textId="77777777" w:rsidR="0094350A" w:rsidRPr="00B34862" w:rsidRDefault="0094350A" w:rsidP="0094350A">
      <w:pPr>
        <w:spacing w:after="0"/>
        <w:jc w:val="both"/>
        <w:rPr>
          <w:b/>
          <w:sz w:val="24"/>
          <w:szCs w:val="24"/>
        </w:rPr>
      </w:pPr>
      <w:r w:rsidRPr="00B34862">
        <w:rPr>
          <w:b/>
          <w:sz w:val="24"/>
          <w:szCs w:val="24"/>
        </w:rPr>
        <w:t xml:space="preserve">Ve Vašem vlastním zájmu </w:t>
      </w:r>
      <w:r w:rsidRPr="00B34862">
        <w:rPr>
          <w:b/>
          <w:sz w:val="24"/>
          <w:szCs w:val="24"/>
          <w:u w:val="single"/>
        </w:rPr>
        <w:t>nepoužívejte</w:t>
      </w:r>
      <w:r w:rsidRPr="00B34862">
        <w:rPr>
          <w:b/>
          <w:sz w:val="24"/>
          <w:szCs w:val="24"/>
        </w:rPr>
        <w:t xml:space="preserve"> při přípravě na zkoušku nekvalitně</w:t>
      </w:r>
      <w:r>
        <w:rPr>
          <w:b/>
          <w:sz w:val="24"/>
          <w:szCs w:val="24"/>
        </w:rPr>
        <w:t xml:space="preserve"> a chybně </w:t>
      </w:r>
      <w:r w:rsidRPr="00B34862">
        <w:rPr>
          <w:b/>
          <w:sz w:val="24"/>
          <w:szCs w:val="24"/>
        </w:rPr>
        <w:t xml:space="preserve">zpracované </w:t>
      </w:r>
      <w:r>
        <w:rPr>
          <w:b/>
          <w:sz w:val="24"/>
          <w:szCs w:val="24"/>
        </w:rPr>
        <w:t xml:space="preserve">nebo zastaralé </w:t>
      </w:r>
      <w:r w:rsidRPr="00B34862">
        <w:rPr>
          <w:b/>
          <w:sz w:val="24"/>
          <w:szCs w:val="24"/>
        </w:rPr>
        <w:t>materiály</w:t>
      </w:r>
      <w:r>
        <w:rPr>
          <w:b/>
          <w:sz w:val="24"/>
          <w:szCs w:val="24"/>
        </w:rPr>
        <w:t xml:space="preserve"> či výtahy</w:t>
      </w:r>
      <w:r w:rsidRPr="00B34862">
        <w:rPr>
          <w:b/>
          <w:sz w:val="24"/>
          <w:szCs w:val="24"/>
        </w:rPr>
        <w:t xml:space="preserve"> od studentů z předcházejících ročníků. Tyto materiály se snaží ve velmi redukované podobě nastínit problematiku vybraných otázek</w:t>
      </w:r>
      <w:r>
        <w:rPr>
          <w:b/>
          <w:sz w:val="24"/>
          <w:szCs w:val="24"/>
        </w:rPr>
        <w:t xml:space="preserve"> (okruhů)</w:t>
      </w:r>
      <w:r w:rsidRPr="00B34862">
        <w:rPr>
          <w:b/>
          <w:sz w:val="24"/>
          <w:szCs w:val="24"/>
        </w:rPr>
        <w:t>, což nemusí být vždy dostačují</w:t>
      </w:r>
      <w:r>
        <w:rPr>
          <w:b/>
          <w:sz w:val="24"/>
          <w:szCs w:val="24"/>
        </w:rPr>
        <w:t>cí</w:t>
      </w:r>
      <w:r w:rsidRPr="00B34862">
        <w:rPr>
          <w:b/>
          <w:sz w:val="24"/>
          <w:szCs w:val="24"/>
        </w:rPr>
        <w:t xml:space="preserve"> k úspěšnému složení zkoušky, navíc obsahují často i věcné chyby. </w:t>
      </w:r>
    </w:p>
    <w:p w14:paraId="064659BA" w14:textId="77777777" w:rsidR="0094350A" w:rsidRPr="003D4420" w:rsidRDefault="0094350A" w:rsidP="003D4420">
      <w:pPr>
        <w:rPr>
          <w:sz w:val="24"/>
        </w:rPr>
      </w:pPr>
    </w:p>
    <w:p w14:paraId="448F601F" w14:textId="77777777" w:rsidR="00CF0E6F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Uživatelé úč</w:t>
      </w:r>
      <w:bookmarkStart w:id="0" w:name="_GoBack"/>
      <w:bookmarkEnd w:id="0"/>
      <w:r w:rsidRPr="0094350A">
        <w:rPr>
          <w:sz w:val="26"/>
          <w:szCs w:val="26"/>
        </w:rPr>
        <w:t>etních informací</w:t>
      </w:r>
    </w:p>
    <w:p w14:paraId="4B676B63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Rozvahové účty a pravidla pro účtování na těchto účtech</w:t>
      </w:r>
    </w:p>
    <w:p w14:paraId="598FA4E8" w14:textId="77777777" w:rsidR="003D4420" w:rsidRPr="0094350A" w:rsidRDefault="003D4420" w:rsidP="003D442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Rozvaha / výkaz o finanční pozici (struktura výkazu a další)</w:t>
      </w:r>
    </w:p>
    <w:p w14:paraId="76B6405B" w14:textId="5B7E7F9A" w:rsidR="003D4420" w:rsidRPr="0094350A" w:rsidRDefault="003D4420" w:rsidP="003D442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Základní stavební prvky rozvahy</w:t>
      </w:r>
      <w:r w:rsidR="00C563BB" w:rsidRPr="0094350A">
        <w:rPr>
          <w:sz w:val="26"/>
          <w:szCs w:val="26"/>
        </w:rPr>
        <w:t xml:space="preserve"> a výkazu zisku a ztráty</w:t>
      </w:r>
      <w:r w:rsidRPr="0094350A">
        <w:rPr>
          <w:sz w:val="26"/>
          <w:szCs w:val="26"/>
        </w:rPr>
        <w:t xml:space="preserve"> a jejich definice dle Koncepčního rámce IFRS</w:t>
      </w:r>
    </w:p>
    <w:p w14:paraId="48CFC85D" w14:textId="77777777" w:rsidR="003D4420" w:rsidRPr="0094350A" w:rsidRDefault="003D4420" w:rsidP="003D442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Bilanční rovnice a rozvahové změny</w:t>
      </w:r>
    </w:p>
    <w:p w14:paraId="66466170" w14:textId="77777777" w:rsidR="003D4420" w:rsidRPr="0094350A" w:rsidRDefault="003D4420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Výkaz zisku a ztráty / výkaz o úplném výsledku hospodaření (struktura výkazu a další)</w:t>
      </w:r>
    </w:p>
    <w:p w14:paraId="7FFD8B1D" w14:textId="6D8B20AC" w:rsidR="00BF7D83" w:rsidRPr="0094350A" w:rsidRDefault="000C4A7C" w:rsidP="003D442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V</w:t>
      </w:r>
      <w:r w:rsidR="003D4420" w:rsidRPr="0094350A">
        <w:rPr>
          <w:sz w:val="26"/>
          <w:szCs w:val="26"/>
        </w:rPr>
        <w:t>azba mezi rozvahou a výkazem zisku a ztráty</w:t>
      </w:r>
    </w:p>
    <w:p w14:paraId="3CCEC7EE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Účetní zobrazení podnikatelského procesu v obchodním podniku</w:t>
      </w:r>
    </w:p>
    <w:p w14:paraId="63D8BA9E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Účetní zobrazení podnikatelského procesu v podniku poskytující služby</w:t>
      </w:r>
    </w:p>
    <w:p w14:paraId="0C7C3258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Účetní zobrazení podnikatelského procesu ve výrobním podniku – druhové členění nákladů</w:t>
      </w:r>
    </w:p>
    <w:p w14:paraId="13A3FF83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Účetní zobrazení podnikatelského procesu ve výrobním podniku – účelové členění nákladů</w:t>
      </w:r>
    </w:p>
    <w:p w14:paraId="158DF825" w14:textId="40655288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Metodické prvky účetnictví</w:t>
      </w:r>
      <w:r w:rsidR="00C563BB" w:rsidRPr="0094350A">
        <w:rPr>
          <w:sz w:val="26"/>
          <w:szCs w:val="26"/>
        </w:rPr>
        <w:t xml:space="preserve"> a vnitropodnikové směrnice</w:t>
      </w:r>
      <w:r w:rsidRPr="0094350A">
        <w:rPr>
          <w:sz w:val="26"/>
          <w:szCs w:val="26"/>
        </w:rPr>
        <w:t xml:space="preserve"> </w:t>
      </w:r>
    </w:p>
    <w:p w14:paraId="027555B9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Oceňování při pořizování, následné oceňování</w:t>
      </w:r>
    </w:p>
    <w:p w14:paraId="6A66491C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 xml:space="preserve">Inventarizace, inventarizační rozdíly </w:t>
      </w:r>
    </w:p>
    <w:p w14:paraId="710FAC22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 xml:space="preserve">Účetní uzávěrka, bilanční kontinuita, předvaha </w:t>
      </w:r>
    </w:p>
    <w:p w14:paraId="014B99F4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Účetní závěrka</w:t>
      </w:r>
      <w:r w:rsidR="003D4420" w:rsidRPr="0094350A">
        <w:rPr>
          <w:sz w:val="26"/>
          <w:szCs w:val="26"/>
        </w:rPr>
        <w:t xml:space="preserve"> a její součásti</w:t>
      </w:r>
      <w:r w:rsidRPr="0094350A">
        <w:rPr>
          <w:sz w:val="26"/>
          <w:szCs w:val="26"/>
        </w:rPr>
        <w:t xml:space="preserve"> (dle českých účetních předpisů, dle IFRS)</w:t>
      </w:r>
    </w:p>
    <w:p w14:paraId="4C5DD405" w14:textId="0A1BF716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Výkaz o peněžních tocích</w:t>
      </w:r>
    </w:p>
    <w:p w14:paraId="469BAE5E" w14:textId="6345E682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Harmonizace účetnictví se zaměřením na IFRS</w:t>
      </w:r>
      <w:r w:rsidR="000C4A7C" w:rsidRPr="0094350A">
        <w:rPr>
          <w:sz w:val="26"/>
          <w:szCs w:val="26"/>
        </w:rPr>
        <w:t xml:space="preserve"> a na US GAAP</w:t>
      </w:r>
    </w:p>
    <w:p w14:paraId="22CE679D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Koncepční rámec IFRS</w:t>
      </w:r>
    </w:p>
    <w:p w14:paraId="6369B65E" w14:textId="77777777" w:rsidR="00BF7D83" w:rsidRPr="0094350A" w:rsidRDefault="00BF7D83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Konsolidovaná účetní závěrka</w:t>
      </w:r>
    </w:p>
    <w:p w14:paraId="69862729" w14:textId="77777777" w:rsidR="00BF7D83" w:rsidRPr="0094350A" w:rsidRDefault="003D4420" w:rsidP="00BF7D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94350A">
        <w:rPr>
          <w:sz w:val="26"/>
          <w:szCs w:val="26"/>
        </w:rPr>
        <w:t>Účetní podvody – principy, příklady</w:t>
      </w:r>
    </w:p>
    <w:sectPr w:rsidR="00BF7D83" w:rsidRPr="0094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BA4"/>
    <w:multiLevelType w:val="hybridMultilevel"/>
    <w:tmpl w:val="8FC4F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83"/>
    <w:rsid w:val="000C4A7C"/>
    <w:rsid w:val="003D4420"/>
    <w:rsid w:val="0051032C"/>
    <w:rsid w:val="00733736"/>
    <w:rsid w:val="007E0598"/>
    <w:rsid w:val="0094350A"/>
    <w:rsid w:val="00BD4F66"/>
    <w:rsid w:val="00BF7D83"/>
    <w:rsid w:val="00C563BB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</cp:revision>
  <cp:lastPrinted>2023-09-12T09:27:00Z</cp:lastPrinted>
  <dcterms:created xsi:type="dcterms:W3CDTF">2023-09-12T09:35:00Z</dcterms:created>
  <dcterms:modified xsi:type="dcterms:W3CDTF">2023-09-12T09:35:00Z</dcterms:modified>
</cp:coreProperties>
</file>