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2B128" w14:textId="77777777" w:rsidR="003D07F0" w:rsidRPr="0001070A" w:rsidRDefault="003D07F0" w:rsidP="003D07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070A">
        <w:rPr>
          <w:rFonts w:ascii="Times New Roman" w:hAnsi="Times New Roman" w:cs="Times New Roman"/>
          <w:b/>
          <w:sz w:val="24"/>
          <w:szCs w:val="24"/>
          <w:u w:val="single"/>
        </w:rPr>
        <w:t xml:space="preserve">Harmonizace daní v Evropské unii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– </w:t>
      </w:r>
      <w:r w:rsidR="00863273" w:rsidRPr="003D07F0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KE </w:t>
      </w:r>
      <w:r w:rsidR="00863273" w:rsidRPr="00B93810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ZKOUŠCE</w:t>
      </w:r>
      <w:r w:rsidR="00B93810" w:rsidRPr="00B93810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, u zápočtu není</w:t>
      </w:r>
    </w:p>
    <w:p w14:paraId="4D730EBE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09663D" w14:textId="77777777" w:rsidR="003D07F0" w:rsidRPr="0001070A" w:rsidRDefault="003D07F0" w:rsidP="003D07F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Harmonizace daní – přizpůsobení, sladění národních daňových systémů </w:t>
      </w:r>
    </w:p>
    <w:p w14:paraId="4DA41C7C" w14:textId="77777777" w:rsidR="003D07F0" w:rsidRPr="0001070A" w:rsidRDefault="003D07F0" w:rsidP="003D07F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Fáze harmonizace</w:t>
      </w:r>
    </w:p>
    <w:p w14:paraId="2BE59139" w14:textId="77777777" w:rsidR="003D07F0" w:rsidRPr="0001070A" w:rsidRDefault="003D07F0" w:rsidP="003D07F0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určení daně, která se harmonizuje </w:t>
      </w:r>
    </w:p>
    <w:p w14:paraId="2100F8D2" w14:textId="77777777" w:rsidR="003D07F0" w:rsidRPr="0001070A" w:rsidRDefault="003D07F0" w:rsidP="003D07F0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harmonizace základu daně </w:t>
      </w:r>
    </w:p>
    <w:p w14:paraId="3D566436" w14:textId="77777777" w:rsidR="003D07F0" w:rsidRDefault="003D07F0" w:rsidP="003D07F0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harmonizace daňové sazby </w:t>
      </w:r>
    </w:p>
    <w:p w14:paraId="364F2FE1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C906D" w14:textId="77777777" w:rsidR="003D07F0" w:rsidRPr="0001070A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Geneze </w:t>
      </w:r>
    </w:p>
    <w:p w14:paraId="0C6D563B" w14:textId="77777777" w:rsidR="003D07F0" w:rsidRPr="0001070A" w:rsidRDefault="003D07F0" w:rsidP="003D07F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Zakládající státy EHS – různorodost daňových systémů</w:t>
      </w:r>
    </w:p>
    <w:p w14:paraId="5991C47D" w14:textId="77777777" w:rsidR="003D07F0" w:rsidRPr="0001070A" w:rsidRDefault="003D07F0" w:rsidP="003D07F0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Nepřímé daně – daně z obratu, prodejní daň, DPH</w:t>
      </w:r>
    </w:p>
    <w:p w14:paraId="482BCBF2" w14:textId="77777777" w:rsidR="003D07F0" w:rsidRPr="0001070A" w:rsidRDefault="003D07F0" w:rsidP="003D07F0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Přímé daně – daně z důchodů, odlišná konstrukce základu daně, slev, odčitatelných položek </w:t>
      </w:r>
    </w:p>
    <w:p w14:paraId="533BE944" w14:textId="77777777" w:rsidR="003D07F0" w:rsidRPr="0001070A" w:rsidRDefault="003D07F0" w:rsidP="003D07F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1967 – rozhodnutí o povinném zavedení DPH </w:t>
      </w:r>
    </w:p>
    <w:p w14:paraId="3C70B430" w14:textId="77777777" w:rsidR="003D07F0" w:rsidRPr="0001070A" w:rsidRDefault="003D07F0" w:rsidP="003D07F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1985 – Bílá kniha dokončení vnitřního trhu</w:t>
      </w:r>
    </w:p>
    <w:p w14:paraId="4ABD7126" w14:textId="77777777" w:rsidR="003D07F0" w:rsidRPr="0001070A" w:rsidRDefault="003D07F0" w:rsidP="003D07F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1993 – Jednotný vnitřní trh</w:t>
      </w:r>
    </w:p>
    <w:p w14:paraId="60AAA53B" w14:textId="77777777" w:rsidR="003D07F0" w:rsidRPr="0001070A" w:rsidRDefault="003D07F0" w:rsidP="003D07F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DPH jako zdroj rozpočtu Evropských společenství  </w:t>
      </w:r>
    </w:p>
    <w:p w14:paraId="0D91ADE4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C8B50F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Harmonizace – přímé daně </w:t>
      </w:r>
    </w:p>
    <w:p w14:paraId="36D6C0E3" w14:textId="77777777" w:rsidR="003D07F0" w:rsidRPr="0001070A" w:rsidRDefault="003D07F0" w:rsidP="003D07F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Zdanění osobní důchodovou daní je v zemích EU různorodé </w:t>
      </w:r>
    </w:p>
    <w:p w14:paraId="67B2A665" w14:textId="77777777" w:rsidR="003D07F0" w:rsidRPr="0001070A" w:rsidRDefault="003D07F0" w:rsidP="003D07F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Stagnace (rozdílnost účetních systémů, neochota)</w:t>
      </w:r>
    </w:p>
    <w:p w14:paraId="4BA65A0A" w14:textId="77777777" w:rsidR="003D07F0" w:rsidRPr="0001070A" w:rsidRDefault="003D07F0" w:rsidP="003D07F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Daň z příjmů fyzických osob</w:t>
      </w:r>
    </w:p>
    <w:p w14:paraId="47D91A4F" w14:textId="77777777" w:rsidR="003D07F0" w:rsidRPr="0001070A" w:rsidRDefault="003D07F0" w:rsidP="003D07F0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Rozdílné sazby, sociální aspekty (odpočitatelné položky …) </w:t>
      </w:r>
    </w:p>
    <w:p w14:paraId="6ED31905" w14:textId="77777777" w:rsidR="003D07F0" w:rsidRPr="0001070A" w:rsidRDefault="003D07F0" w:rsidP="003D07F0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Jedna sazba x více sazeb </w:t>
      </w:r>
    </w:p>
    <w:p w14:paraId="3373CA3B" w14:textId="77777777" w:rsidR="003D07F0" w:rsidRPr="0001070A" w:rsidRDefault="003D07F0" w:rsidP="003D07F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Daň z příjmů právnických osob </w:t>
      </w:r>
    </w:p>
    <w:p w14:paraId="7C22052F" w14:textId="77777777" w:rsidR="003D07F0" w:rsidRPr="0001070A" w:rsidRDefault="003D07F0" w:rsidP="003D07F0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Sazba daně – vypovídací schopnost x efektivní sazba daně</w:t>
      </w:r>
    </w:p>
    <w:p w14:paraId="402DCE6A" w14:textId="77777777" w:rsidR="003D07F0" w:rsidRPr="0001070A" w:rsidRDefault="003D07F0" w:rsidP="003D07F0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Dvojí zdanění – smlouvy o zamezení dvojího zdanění </w:t>
      </w:r>
    </w:p>
    <w:p w14:paraId="3854998A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932597" w14:textId="77777777" w:rsidR="003D07F0" w:rsidRPr="0001070A" w:rsidRDefault="003D07F0" w:rsidP="003D07F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ALS – Pravidlo tržního odstupu – pro stanovení transferové ceny – měla by odpovídat ceně stanovené mezi nezávislými osobami</w:t>
      </w:r>
    </w:p>
    <w:p w14:paraId="4815DF42" w14:textId="77777777" w:rsidR="003D07F0" w:rsidRPr="0001070A" w:rsidRDefault="003D07F0" w:rsidP="003D07F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Směrnice 77/799/EHS – o vzájemné pomoci mezi příslušnými orgány členských zemí v oblasti přímých daní – daňové úniky, výměna informací </w:t>
      </w:r>
    </w:p>
    <w:p w14:paraId="0A22B2CF" w14:textId="77777777" w:rsidR="003D07F0" w:rsidRPr="0001070A" w:rsidRDefault="003D07F0" w:rsidP="003D07F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90/436/EEC – Arbitrážní konvence – stanovuje principy a metody jak zamezit dvojímu zdanění </w:t>
      </w:r>
    </w:p>
    <w:p w14:paraId="70325BC7" w14:textId="77777777" w:rsidR="003D07F0" w:rsidRPr="0001070A" w:rsidRDefault="003D07F0" w:rsidP="003D07F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r. 1993 – povinné používání DIČ</w:t>
      </w:r>
    </w:p>
    <w:p w14:paraId="56F7E46B" w14:textId="77777777" w:rsidR="003D07F0" w:rsidRPr="0001070A" w:rsidRDefault="003D07F0" w:rsidP="003D07F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Pravidlo CFC (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Controlled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Corporation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regime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F02B1E9" w14:textId="77777777" w:rsidR="003D07F0" w:rsidRPr="0001070A" w:rsidRDefault="003D07F0" w:rsidP="003D07F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Pravidlo FIF (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Investment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Fund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>)</w:t>
      </w:r>
    </w:p>
    <w:p w14:paraId="25703E11" w14:textId="77777777" w:rsidR="003D07F0" w:rsidRPr="0001070A" w:rsidRDefault="003D07F0" w:rsidP="003D07F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070A">
        <w:rPr>
          <w:rFonts w:ascii="Times New Roman" w:hAnsi="Times New Roman" w:cs="Times New Roman"/>
          <w:sz w:val="24"/>
          <w:szCs w:val="24"/>
        </w:rPr>
        <w:t>Rudingův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výbor – vliv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distrorzity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daní </w:t>
      </w:r>
    </w:p>
    <w:p w14:paraId="5E09E6EB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CAFEB" w14:textId="77777777" w:rsidR="003D07F0" w:rsidRPr="0001070A" w:rsidRDefault="003D07F0" w:rsidP="003D07F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Preference Evropské Komise</w:t>
      </w:r>
    </w:p>
    <w:p w14:paraId="5F25AF73" w14:textId="77777777" w:rsidR="003D07F0" w:rsidRPr="0001070A" w:rsidRDefault="003D07F0" w:rsidP="003D07F0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Eliminace dvojího zdanění </w:t>
      </w:r>
    </w:p>
    <w:p w14:paraId="43C8A9E4" w14:textId="77777777" w:rsidR="003D07F0" w:rsidRPr="0001070A" w:rsidRDefault="003D07F0" w:rsidP="003D07F0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Zajištění fungování jednotného vnitřního trhu </w:t>
      </w:r>
    </w:p>
    <w:p w14:paraId="042A64E0" w14:textId="77777777" w:rsidR="003D07F0" w:rsidRPr="0001070A" w:rsidRDefault="003D07F0" w:rsidP="003D07F0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Ošetření daňových toků mezi členskými státy</w:t>
      </w:r>
    </w:p>
    <w:p w14:paraId="696C9F11" w14:textId="77777777" w:rsidR="003D07F0" w:rsidRPr="0001070A" w:rsidRDefault="003D07F0" w:rsidP="003D07F0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Přímé daně – volný pohyb osob, zboží, kapitálu a služeb </w:t>
      </w:r>
    </w:p>
    <w:p w14:paraId="071F4A23" w14:textId="77777777" w:rsidR="003D07F0" w:rsidRPr="0001070A" w:rsidRDefault="003D07F0" w:rsidP="003D07F0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Přímé daně – směrnice k harmonizaci přímých daní </w:t>
      </w:r>
    </w:p>
    <w:p w14:paraId="566BD6F6" w14:textId="77777777" w:rsidR="003D07F0" w:rsidRPr="0001070A" w:rsidRDefault="003D07F0" w:rsidP="003D07F0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Přímé daně – smlouvy o zamezení dvojího zdanění </w:t>
      </w:r>
    </w:p>
    <w:p w14:paraId="022288B1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E2A24E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79400F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9B795A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8B5846" w14:textId="4011859C" w:rsidR="009965A4" w:rsidRPr="009965A4" w:rsidRDefault="009965A4" w:rsidP="003D07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65A4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 xml:space="preserve">U zkoušky je nutno umět také alespoň stručně vysvětlit </w:t>
      </w:r>
      <w:r w:rsidR="004236F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– charakterizovat - </w:t>
      </w:r>
      <w:r w:rsidRPr="004236F5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alespoň 1 vybraný judikát</w:t>
      </w:r>
      <w:r w:rsidRPr="009965A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[rozsudek]</w:t>
      </w:r>
      <w:r w:rsidR="004236F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(čeho se týkal, jaký je závěr z tohoto judikátu v kontextu daňové harmonizace)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9965A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týkají se přímých daní a </w:t>
      </w:r>
      <w:r w:rsidRPr="004236F5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alespoň 1 judikát týkající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se nepřímých daní</w:t>
      </w:r>
      <w:r w:rsidR="004236F5">
        <w:rPr>
          <w:rFonts w:ascii="Times New Roman" w:hAnsi="Times New Roman" w:cs="Times New Roman"/>
          <w:b/>
          <w:sz w:val="24"/>
          <w:szCs w:val="24"/>
        </w:rPr>
        <w:t xml:space="preserve"> (viz otázky č. 28 a 29), více např. kniha Široký Jan – Daně v</w:t>
      </w:r>
      <w:r w:rsidR="007E5574">
        <w:rPr>
          <w:rFonts w:ascii="Times New Roman" w:hAnsi="Times New Roman" w:cs="Times New Roman"/>
          <w:b/>
          <w:sz w:val="24"/>
          <w:szCs w:val="24"/>
        </w:rPr>
        <w:t> </w:t>
      </w:r>
      <w:r w:rsidR="004236F5">
        <w:rPr>
          <w:rFonts w:ascii="Times New Roman" w:hAnsi="Times New Roman" w:cs="Times New Roman"/>
          <w:b/>
          <w:sz w:val="24"/>
          <w:szCs w:val="24"/>
        </w:rPr>
        <w:t>EU</w:t>
      </w:r>
      <w:r w:rsidR="007E5574">
        <w:rPr>
          <w:rFonts w:ascii="Times New Roman" w:hAnsi="Times New Roman" w:cs="Times New Roman"/>
          <w:b/>
          <w:sz w:val="24"/>
          <w:szCs w:val="24"/>
        </w:rPr>
        <w:t xml:space="preserve">, 7. vyd. ISBN 978-80-7502-247-5. Rok vydání 2018.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65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C64276" w14:textId="77777777" w:rsidR="009965A4" w:rsidRDefault="009965A4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F051DA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Přímé daně a jednotný vnitřní trh </w:t>
      </w:r>
    </w:p>
    <w:p w14:paraId="0980FFC0" w14:textId="77777777" w:rsidR="003D07F0" w:rsidRPr="0001070A" w:rsidRDefault="003D07F0" w:rsidP="003D07F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Volný pohyb z</w:t>
      </w:r>
      <w:r w:rsidRPr="0001070A">
        <w:rPr>
          <w:rFonts w:ascii="Times New Roman" w:hAnsi="Times New Roman" w:cs="Times New Roman"/>
          <w:b/>
          <w:bCs/>
          <w:sz w:val="24"/>
          <w:szCs w:val="24"/>
        </w:rPr>
        <w:t>boží</w:t>
      </w:r>
      <w:r w:rsidRPr="0001070A">
        <w:rPr>
          <w:rFonts w:ascii="Times New Roman" w:hAnsi="Times New Roman" w:cs="Times New Roman"/>
          <w:sz w:val="24"/>
          <w:szCs w:val="24"/>
        </w:rPr>
        <w:t xml:space="preserve"> – zboží vyrobené v jednom státě EU bylo prodáváno v jiném státě EU za stejných podmínek jako domácí zboží </w:t>
      </w:r>
    </w:p>
    <w:p w14:paraId="34E01D47" w14:textId="77777777" w:rsidR="003D07F0" w:rsidRPr="0001070A" w:rsidRDefault="003D07F0" w:rsidP="003D07F0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Základ cel a dávek s rovnocenným účinkem (Rozsudky: vývozní daně z uměleckých předmětů 7/68, Statistický poplatek 24/68,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Diamantarbeiders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v.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Brachfeld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2/69 a 3/69),  </w:t>
      </w:r>
    </w:p>
    <w:p w14:paraId="14CFECEF" w14:textId="77777777" w:rsidR="003D07F0" w:rsidRPr="0001070A" w:rsidRDefault="003D07F0" w:rsidP="003D07F0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Odstranění vnitřního diskriminačního zdanění (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Humbolt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v.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Directeur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fiscaux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– Daň z automobilů 112/84)</w:t>
      </w:r>
    </w:p>
    <w:p w14:paraId="07C152E3" w14:textId="77777777" w:rsidR="003D07F0" w:rsidRDefault="003D07F0" w:rsidP="003D07F0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Zákaz kvantitativního omezení dovozu a opatření s rovnocenným účinkem (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Procureur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Roi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v.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Benoit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a Gustave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Dassonwille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8/74,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Rewe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Zentral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AG v.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Bundesmonopolverwaltung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fur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Branntwein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Cassis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de Dijon 120/78)</w:t>
      </w:r>
    </w:p>
    <w:p w14:paraId="1E957B93" w14:textId="77777777" w:rsidR="003D07F0" w:rsidRPr="0001070A" w:rsidRDefault="003D07F0" w:rsidP="003D07F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7B27737" w14:textId="77777777" w:rsidR="003D07F0" w:rsidRPr="0001070A" w:rsidRDefault="003D07F0" w:rsidP="003D07F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b/>
          <w:bCs/>
          <w:sz w:val="24"/>
          <w:szCs w:val="24"/>
        </w:rPr>
        <w:t xml:space="preserve">Volný pohyb osob – </w:t>
      </w:r>
      <w:r w:rsidRPr="0001070A">
        <w:rPr>
          <w:rFonts w:ascii="Times New Roman" w:hAnsi="Times New Roman" w:cs="Times New Roman"/>
          <w:sz w:val="24"/>
          <w:szCs w:val="24"/>
        </w:rPr>
        <w:t xml:space="preserve">odstranění diskriminace na základě státní příslušnosti, rovné postavení osob ze všech státu EU na úroveň tuzemských pracovníků. Možnost usadit se, pracovat a podnikat ve kterémkoliv členském státu EU. </w:t>
      </w:r>
    </w:p>
    <w:p w14:paraId="44945764" w14:textId="77777777" w:rsidR="003D07F0" w:rsidRPr="0001070A" w:rsidRDefault="003D07F0" w:rsidP="003D07F0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070A">
        <w:rPr>
          <w:rFonts w:ascii="Times New Roman" w:hAnsi="Times New Roman" w:cs="Times New Roman"/>
          <w:sz w:val="24"/>
          <w:szCs w:val="24"/>
        </w:rPr>
        <w:t>Finanzamt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Köln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v.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Schumacker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279/93</w:t>
      </w:r>
    </w:p>
    <w:p w14:paraId="09E96C13" w14:textId="77777777" w:rsidR="003D07F0" w:rsidRPr="0001070A" w:rsidRDefault="003D07F0" w:rsidP="003D07F0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Egon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Schempp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v.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Finanzamt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München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– Daňový odpočet 403/03</w:t>
      </w:r>
    </w:p>
    <w:p w14:paraId="5AE3D916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C0611" w14:textId="77777777" w:rsidR="003D07F0" w:rsidRPr="0001070A" w:rsidRDefault="003D07F0" w:rsidP="003D07F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b/>
          <w:bCs/>
          <w:sz w:val="24"/>
          <w:szCs w:val="24"/>
        </w:rPr>
        <w:t xml:space="preserve">Volný pohyb služeb </w:t>
      </w:r>
      <w:r w:rsidRPr="0001070A">
        <w:rPr>
          <w:rFonts w:ascii="Times New Roman" w:hAnsi="Times New Roman" w:cs="Times New Roman"/>
          <w:sz w:val="24"/>
          <w:szCs w:val="24"/>
        </w:rPr>
        <w:t xml:space="preserve">– přeshraniční poskytování úkonů, cílem je zajistit právo nabízet a poskytovat služby, aniž by muselo dojít k usazení mimo domovský stát </w:t>
      </w:r>
    </w:p>
    <w:p w14:paraId="5251BBA7" w14:textId="77777777" w:rsidR="003D07F0" w:rsidRDefault="003D07F0" w:rsidP="003D07F0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070A">
        <w:rPr>
          <w:rFonts w:ascii="Times New Roman" w:hAnsi="Times New Roman" w:cs="Times New Roman"/>
          <w:sz w:val="24"/>
          <w:szCs w:val="24"/>
        </w:rPr>
        <w:t>Skatteministeriet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v.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Bent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Vestegaard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55/98</w:t>
      </w:r>
    </w:p>
    <w:p w14:paraId="2498CAB7" w14:textId="77777777" w:rsidR="003D07F0" w:rsidRPr="0001070A" w:rsidRDefault="003D07F0" w:rsidP="003D07F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4A5882E" w14:textId="77777777" w:rsidR="003D07F0" w:rsidRPr="0001070A" w:rsidRDefault="003D07F0" w:rsidP="003D07F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b/>
          <w:sz w:val="24"/>
          <w:szCs w:val="24"/>
        </w:rPr>
        <w:t>Volný pohyb kapitálu</w:t>
      </w:r>
      <w:r w:rsidRPr="0001070A">
        <w:rPr>
          <w:rFonts w:ascii="Times New Roman" w:hAnsi="Times New Roman" w:cs="Times New Roman"/>
          <w:sz w:val="24"/>
          <w:szCs w:val="24"/>
        </w:rPr>
        <w:t xml:space="preserve"> – volný pohyb věcného a peněžního kapitálu </w:t>
      </w:r>
    </w:p>
    <w:p w14:paraId="2D65FAF1" w14:textId="77777777" w:rsidR="003D07F0" w:rsidRPr="0001070A" w:rsidRDefault="003D07F0" w:rsidP="003D07F0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070A">
        <w:rPr>
          <w:rFonts w:ascii="Times New Roman" w:hAnsi="Times New Roman" w:cs="Times New Roman"/>
          <w:sz w:val="24"/>
          <w:szCs w:val="24"/>
        </w:rPr>
        <w:t>Marks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Spe</w:t>
      </w:r>
      <w:r>
        <w:rPr>
          <w:rFonts w:ascii="Times New Roman" w:hAnsi="Times New Roman" w:cs="Times New Roman"/>
          <w:sz w:val="24"/>
          <w:szCs w:val="24"/>
        </w:rPr>
        <w:t xml:space="preserve">ncer </w:t>
      </w:r>
      <w:proofErr w:type="spellStart"/>
      <w:r>
        <w:rPr>
          <w:rFonts w:ascii="Times New Roman" w:hAnsi="Times New Roman" w:cs="Times New Roman"/>
          <w:sz w:val="24"/>
          <w:szCs w:val="24"/>
        </w:rPr>
        <w:t>plc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v .David </w:t>
      </w:r>
      <w:proofErr w:type="spellStart"/>
      <w:r>
        <w:rPr>
          <w:rFonts w:ascii="Times New Roman" w:hAnsi="Times New Roman" w:cs="Times New Roman"/>
          <w:sz w:val="24"/>
          <w:szCs w:val="24"/>
        </w:rPr>
        <w:t>Halsey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(Her </w:t>
      </w:r>
      <w:proofErr w:type="spellStart"/>
      <w:r>
        <w:rPr>
          <w:rFonts w:ascii="Times New Roman" w:hAnsi="Times New Roman" w:cs="Times New Roman"/>
          <w:sz w:val="24"/>
          <w:szCs w:val="24"/>
        </w:rPr>
        <w:t>Majesty´s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Inspector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Taxes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>) 446/03</w:t>
      </w:r>
    </w:p>
    <w:p w14:paraId="3C58CC2A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9D2E37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Směrnice společenství </w:t>
      </w:r>
    </w:p>
    <w:p w14:paraId="6A02CE57" w14:textId="77777777" w:rsidR="003D07F0" w:rsidRPr="0001070A" w:rsidRDefault="003D07F0" w:rsidP="003D07F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Směrnice 90/434/EHS – Směrnice o fúzích </w:t>
      </w:r>
    </w:p>
    <w:p w14:paraId="08B2E20F" w14:textId="77777777" w:rsidR="003D07F0" w:rsidRPr="0001070A" w:rsidRDefault="003D07F0" w:rsidP="003D07F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Směrnice 90/435/EHS – Směrnice o společném systému zdanění mateřských a dceřiných společností </w:t>
      </w:r>
    </w:p>
    <w:p w14:paraId="519715FE" w14:textId="77777777" w:rsidR="003D07F0" w:rsidRPr="0001070A" w:rsidRDefault="003D07F0" w:rsidP="003D07F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Směrnice 2003/48/ES – směrnice o zdanění příjmů z úspor ve formě plateb úrokového charakteru </w:t>
      </w:r>
    </w:p>
    <w:p w14:paraId="2C33821F" w14:textId="77777777" w:rsidR="003D07F0" w:rsidRPr="0001070A" w:rsidRDefault="003D07F0" w:rsidP="003D07F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Směrnice 2003/49/ES – Směrnice o zdaňování úroků a licenčních poplatků </w:t>
      </w:r>
    </w:p>
    <w:p w14:paraId="4F13B8BA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A28CC4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Smlouvy o zamezení dvojího zdanění </w:t>
      </w:r>
    </w:p>
    <w:p w14:paraId="70FF02D5" w14:textId="77777777" w:rsidR="003D07F0" w:rsidRPr="0001070A" w:rsidRDefault="003D07F0" w:rsidP="003D07F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Dvojí zdanění – vzniká z důvodu kolize dvou a více daňově právních systémů různých států </w:t>
      </w:r>
    </w:p>
    <w:p w14:paraId="021C9819" w14:textId="77777777" w:rsidR="003D07F0" w:rsidRPr="0001070A" w:rsidRDefault="003D07F0" w:rsidP="003D07F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Metody zabránění dvojího zdanění</w:t>
      </w:r>
    </w:p>
    <w:p w14:paraId="1E03AE28" w14:textId="77777777" w:rsidR="003D07F0" w:rsidRPr="0001070A" w:rsidRDefault="003D07F0" w:rsidP="003D07F0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Metoda vynětí </w:t>
      </w:r>
    </w:p>
    <w:p w14:paraId="0E3CFB6B" w14:textId="77777777" w:rsidR="003D07F0" w:rsidRPr="0001070A" w:rsidRDefault="003D07F0" w:rsidP="003D07F0">
      <w:pPr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Úplné </w:t>
      </w:r>
    </w:p>
    <w:p w14:paraId="5485FBE8" w14:textId="77777777" w:rsidR="003D07F0" w:rsidRPr="0001070A" w:rsidRDefault="003D07F0" w:rsidP="003D07F0">
      <w:pPr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S výhradou progrese </w:t>
      </w:r>
    </w:p>
    <w:p w14:paraId="331DCA6D" w14:textId="77777777" w:rsidR="003D07F0" w:rsidRPr="0001070A" w:rsidRDefault="003D07F0" w:rsidP="003D07F0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Metoda zápočtu </w:t>
      </w:r>
    </w:p>
    <w:p w14:paraId="18EB7498" w14:textId="77777777" w:rsidR="003D07F0" w:rsidRPr="0001070A" w:rsidRDefault="003D07F0" w:rsidP="003D07F0">
      <w:pPr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Plný</w:t>
      </w:r>
    </w:p>
    <w:p w14:paraId="1BE49927" w14:textId="77777777" w:rsidR="003D07F0" w:rsidRPr="0001070A" w:rsidRDefault="003D07F0" w:rsidP="003D07F0">
      <w:pPr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Prostý </w:t>
      </w:r>
    </w:p>
    <w:p w14:paraId="2BD42DE8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F1F4BA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463613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Harmonizace v oblasti nepřímých daní </w:t>
      </w:r>
    </w:p>
    <w:p w14:paraId="56953AB6" w14:textId="77777777" w:rsidR="003D07F0" w:rsidRPr="0001070A" w:rsidRDefault="003D07F0" w:rsidP="003D07F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Viz také přednáška </w:t>
      </w:r>
      <w:r w:rsidR="0051109E">
        <w:rPr>
          <w:rFonts w:ascii="Times New Roman" w:hAnsi="Times New Roman" w:cs="Times New Roman"/>
          <w:sz w:val="24"/>
          <w:szCs w:val="24"/>
        </w:rPr>
        <w:t>k</w:t>
      </w:r>
      <w:r w:rsidRPr="0001070A">
        <w:rPr>
          <w:rFonts w:ascii="Times New Roman" w:hAnsi="Times New Roman" w:cs="Times New Roman"/>
          <w:sz w:val="24"/>
          <w:szCs w:val="24"/>
        </w:rPr>
        <w:t xml:space="preserve"> DPH </w:t>
      </w:r>
    </w:p>
    <w:p w14:paraId="35FA40B8" w14:textId="77777777" w:rsidR="003D07F0" w:rsidRPr="0001070A" w:rsidRDefault="003D07F0" w:rsidP="003D07F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Harmonizace je nezbytná pro fungování společného trhu =&gt; zaměření zejména na oblast daně z přidané hodnoty </w:t>
      </w:r>
    </w:p>
    <w:p w14:paraId="5C919C32" w14:textId="77777777" w:rsidR="003D07F0" w:rsidRPr="0001070A" w:rsidRDefault="003D07F0" w:rsidP="003D07F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Dříve spíše daně z obratu – duplicitnost daně </w:t>
      </w:r>
    </w:p>
    <w:p w14:paraId="592223B2" w14:textId="77777777" w:rsidR="003D07F0" w:rsidRPr="0001070A" w:rsidRDefault="003D07F0" w:rsidP="003D07F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První směrnice 67/227/EHS – uvádí důvody pro zavedení DPH</w:t>
      </w:r>
    </w:p>
    <w:p w14:paraId="0DC05555" w14:textId="77777777" w:rsidR="003D07F0" w:rsidRPr="0001070A" w:rsidRDefault="003D07F0" w:rsidP="003D07F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Druhá směrnice 67/228/EHS </w:t>
      </w:r>
    </w:p>
    <w:p w14:paraId="26966669" w14:textId="77777777" w:rsidR="003D07F0" w:rsidRPr="0001070A" w:rsidRDefault="003D07F0" w:rsidP="003D07F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Třetí, čtvrtá, pátá směrnice EHS  </w:t>
      </w:r>
    </w:p>
    <w:p w14:paraId="72E39D63" w14:textId="77777777" w:rsidR="003D07F0" w:rsidRPr="0001070A" w:rsidRDefault="003D07F0" w:rsidP="003D07F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Šestá směrnice 77/388/EHS </w:t>
      </w:r>
    </w:p>
    <w:p w14:paraId="2119D79A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70F380" w14:textId="77777777" w:rsidR="003D07F0" w:rsidRPr="0001070A" w:rsidRDefault="003D07F0" w:rsidP="003D07F0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Od r. 1987 je DPH jedinou všeobecnou nepřímou daní ve všech státech EU </w:t>
      </w:r>
    </w:p>
    <w:p w14:paraId="433A7D6C" w14:textId="77777777" w:rsidR="003D07F0" w:rsidRPr="0001070A" w:rsidRDefault="003D07F0" w:rsidP="003D07F0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Neduplicitní, vícefázová daň </w:t>
      </w:r>
    </w:p>
    <w:p w14:paraId="35EA5EE5" w14:textId="77777777" w:rsidR="003D07F0" w:rsidRPr="0001070A" w:rsidRDefault="003D07F0" w:rsidP="003D07F0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Dříve jednorázové daně – daň z obratu – duplicitnost daně </w:t>
      </w:r>
    </w:p>
    <w:p w14:paraId="7B4735AE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E340C7" w14:textId="77777777" w:rsidR="003D07F0" w:rsidRPr="0001070A" w:rsidRDefault="003D07F0" w:rsidP="003D07F0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Sazby daně z přidané hodnoty </w:t>
      </w:r>
    </w:p>
    <w:p w14:paraId="2A391A24" w14:textId="77777777" w:rsidR="003D07F0" w:rsidRPr="0001070A" w:rsidRDefault="003D07F0" w:rsidP="003D07F0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Sjednocení počtu daňových sazeb </w:t>
      </w:r>
    </w:p>
    <w:p w14:paraId="6BAC96B1" w14:textId="77777777" w:rsidR="003D07F0" w:rsidRPr="0001070A" w:rsidRDefault="003D07F0" w:rsidP="003D07F0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Původní návrh Komise – standardní sazba 14-20 %, snížená 4-9% </w:t>
      </w:r>
    </w:p>
    <w:p w14:paraId="571DE64E" w14:textId="77777777" w:rsidR="003D07F0" w:rsidRPr="0001070A" w:rsidRDefault="003D07F0" w:rsidP="003D07F0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Směrnice 92/77/EHS – základní nejméně 15 %, snížená nejméně 5 %</w:t>
      </w:r>
    </w:p>
    <w:p w14:paraId="31192EA8" w14:textId="77777777" w:rsidR="003D07F0" w:rsidRPr="0001070A" w:rsidRDefault="003D07F0" w:rsidP="003D07F0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Směrnice Rady 2006/112/ES – o společném systému daně z přidané hodnoty – základní dokument harmonizace DPH </w:t>
      </w:r>
    </w:p>
    <w:p w14:paraId="2E1FA139" w14:textId="77777777" w:rsidR="003D07F0" w:rsidRPr="0001070A" w:rsidRDefault="003D07F0" w:rsidP="003D07F0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Přílohy směrnice 2006/112/ES – vymezují např. položky, které mohou být zařazeny do snížené sazby DPH </w:t>
      </w:r>
    </w:p>
    <w:p w14:paraId="0E78D868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12D94F" w14:textId="77777777" w:rsidR="003D07F0" w:rsidRPr="0001070A" w:rsidRDefault="003D07F0" w:rsidP="003D07F0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Judikáty Soudního dvoru</w:t>
      </w:r>
      <w:r w:rsidR="004236F5">
        <w:rPr>
          <w:rFonts w:ascii="Times New Roman" w:hAnsi="Times New Roman" w:cs="Times New Roman"/>
          <w:sz w:val="24"/>
          <w:szCs w:val="24"/>
        </w:rPr>
        <w:t xml:space="preserve"> – </w:t>
      </w:r>
      <w:r w:rsidR="004236F5" w:rsidRPr="004236F5">
        <w:rPr>
          <w:rFonts w:ascii="Times New Roman" w:hAnsi="Times New Roman" w:cs="Times New Roman"/>
          <w:sz w:val="24"/>
          <w:szCs w:val="24"/>
          <w:highlight w:val="yellow"/>
        </w:rPr>
        <w:t>ALESPOŇ 1 Z TĚCHTO JUDIKÁTŮ JE NUTNO UMĚT U ZKOUŠKY VYSVĚTLIT – ČÍM SE ZABÝVAL, JAKÝ JE VÝZNAM V DAŇOVÉ HARMONIZACI</w:t>
      </w:r>
      <w:r w:rsidR="004236F5">
        <w:rPr>
          <w:rFonts w:ascii="Times New Roman" w:hAnsi="Times New Roman" w:cs="Times New Roman"/>
          <w:sz w:val="24"/>
          <w:szCs w:val="24"/>
        </w:rPr>
        <w:t xml:space="preserve"> (</w:t>
      </w:r>
      <w:r w:rsidR="004236F5" w:rsidRPr="00B93810">
        <w:rPr>
          <w:rFonts w:ascii="Times New Roman" w:hAnsi="Times New Roman" w:cs="Times New Roman"/>
          <w:b/>
          <w:sz w:val="24"/>
          <w:szCs w:val="24"/>
          <w:u w:val="single"/>
        </w:rPr>
        <w:t>VIZ KNIHA NAPŘ. Široký Jan – Daně v Evropské unii</w:t>
      </w:r>
      <w:r w:rsidR="004236F5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7278922" w14:textId="77777777" w:rsidR="003D07F0" w:rsidRPr="0001070A" w:rsidRDefault="003D07F0" w:rsidP="003D07F0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070A">
        <w:rPr>
          <w:rFonts w:ascii="Times New Roman" w:hAnsi="Times New Roman" w:cs="Times New Roman"/>
          <w:sz w:val="24"/>
          <w:szCs w:val="24"/>
        </w:rPr>
        <w:t>H.J.Glawe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Spiel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und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Unterhaltungsgerate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Aufstellungsgesellschaft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GmbH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(38/93) </w:t>
      </w:r>
    </w:p>
    <w:p w14:paraId="72C4CA98" w14:textId="77777777" w:rsidR="003D07F0" w:rsidRPr="0001070A" w:rsidRDefault="003D07F0" w:rsidP="003D07F0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070A">
        <w:rPr>
          <w:rFonts w:ascii="Times New Roman" w:hAnsi="Times New Roman" w:cs="Times New Roman"/>
          <w:sz w:val="24"/>
          <w:szCs w:val="24"/>
        </w:rPr>
        <w:t>Fiscale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eenheid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Koninklijke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Ahold NV v.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Staatssecretaris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van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Financien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(484/06)</w:t>
      </w:r>
    </w:p>
    <w:p w14:paraId="029D22FB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53B11A" w14:textId="77777777" w:rsidR="003D07F0" w:rsidRDefault="003D07F0" w:rsidP="003D07F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Kolotočové podvody </w:t>
      </w:r>
    </w:p>
    <w:p w14:paraId="62BE1BF2" w14:textId="77777777" w:rsidR="003D07F0" w:rsidRPr="0001070A" w:rsidRDefault="003D07F0" w:rsidP="003D07F0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Podvody chybějícího obchodníka </w:t>
      </w:r>
    </w:p>
    <w:p w14:paraId="3242FA2B" w14:textId="77777777" w:rsidR="003D07F0" w:rsidRDefault="003D07F0" w:rsidP="003D07F0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Dodávky zboží, které následující řetězovitě za sebou, přičemž v jednom místě řetězce plátců DPH není daň odvedena a příslušný subjekt přestane existovat nebo není možné tuto firmu dopátrat </w:t>
      </w:r>
    </w:p>
    <w:p w14:paraId="4E8402A3" w14:textId="77777777" w:rsidR="003D07F0" w:rsidRDefault="003D07F0" w:rsidP="003D07F0">
      <w:pPr>
        <w:rPr>
          <w:rFonts w:ascii="Times New Roman" w:hAnsi="Times New Roman" w:cs="Times New Roman"/>
          <w:sz w:val="24"/>
          <w:szCs w:val="24"/>
        </w:rPr>
      </w:pPr>
    </w:p>
    <w:p w14:paraId="3965F7D7" w14:textId="77777777" w:rsidR="003D07F0" w:rsidRDefault="003D07F0" w:rsidP="003D07F0">
      <w:pPr>
        <w:rPr>
          <w:rFonts w:ascii="Times New Roman" w:hAnsi="Times New Roman" w:cs="Times New Roman"/>
          <w:sz w:val="24"/>
          <w:szCs w:val="24"/>
        </w:rPr>
      </w:pPr>
    </w:p>
    <w:p w14:paraId="17E1B7AB" w14:textId="77777777" w:rsidR="003D07F0" w:rsidRDefault="003D07F0" w:rsidP="003D07F0">
      <w:pPr>
        <w:rPr>
          <w:rFonts w:ascii="Times New Roman" w:hAnsi="Times New Roman" w:cs="Times New Roman"/>
          <w:sz w:val="24"/>
          <w:szCs w:val="24"/>
        </w:rPr>
      </w:pPr>
    </w:p>
    <w:p w14:paraId="494FD650" w14:textId="77777777" w:rsidR="003D07F0" w:rsidRDefault="003D07F0" w:rsidP="003D07F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16DDA7F0" w14:textId="77777777" w:rsidR="003D07F0" w:rsidRPr="0001070A" w:rsidRDefault="003D07F0" w:rsidP="003D07F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070A">
        <w:rPr>
          <w:rFonts w:ascii="Times New Roman" w:hAnsi="Times New Roman" w:cs="Times New Roman"/>
          <w:b/>
          <w:sz w:val="24"/>
          <w:szCs w:val="24"/>
          <w:u w:val="single"/>
        </w:rPr>
        <w:t xml:space="preserve">Mezinárodní zdanění </w:t>
      </w:r>
      <w:r w:rsidRPr="00B93810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– ke zkoušce</w:t>
      </w:r>
      <w:r w:rsidR="00B93810" w:rsidRPr="00B93810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, u zápočtu není</w:t>
      </w:r>
      <w:r w:rsidR="00B9381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08052BE" w14:textId="77777777" w:rsidR="003D07F0" w:rsidRPr="0001070A" w:rsidRDefault="003D07F0" w:rsidP="003D07F0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jeden příjem bude zdaněný ve více než jednom státě, na předmět daně je uvalena opakovaně stejná nebo obdobná daň   </w:t>
      </w:r>
    </w:p>
    <w:p w14:paraId="65F31179" w14:textId="77777777" w:rsidR="003D07F0" w:rsidRPr="0001070A" w:rsidRDefault="003D07F0" w:rsidP="003D07F0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Vnitrostátní dvojí zdanění</w:t>
      </w:r>
    </w:p>
    <w:p w14:paraId="38F22F9E" w14:textId="77777777" w:rsidR="003D07F0" w:rsidRPr="0001070A" w:rsidRDefault="003D07F0" w:rsidP="003D07F0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Mezinárodní dvojí zdanění </w:t>
      </w:r>
    </w:p>
    <w:p w14:paraId="3E198003" w14:textId="77777777" w:rsidR="003D07F0" w:rsidRPr="0001070A" w:rsidRDefault="003D07F0" w:rsidP="003D07F0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Dvojí zdanění </w:t>
      </w:r>
    </w:p>
    <w:p w14:paraId="7350D518" w14:textId="77777777" w:rsidR="003D07F0" w:rsidRDefault="003D07F0" w:rsidP="003D07F0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právní, </w:t>
      </w:r>
    </w:p>
    <w:p w14:paraId="7F0BEA08" w14:textId="77777777" w:rsidR="003D07F0" w:rsidRPr="0001070A" w:rsidRDefault="003D07F0" w:rsidP="003D07F0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ekonomické</w:t>
      </w:r>
    </w:p>
    <w:p w14:paraId="071E3FE7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86324C" w14:textId="77777777" w:rsidR="003D07F0" w:rsidRPr="0001070A" w:rsidRDefault="003D07F0" w:rsidP="003D07F0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příjmy z </w:t>
      </w:r>
      <w:r w:rsidRPr="0001070A">
        <w:rPr>
          <w:rFonts w:ascii="Times New Roman" w:hAnsi="Times New Roman" w:cs="Times New Roman"/>
          <w:b/>
          <w:bCs/>
          <w:sz w:val="24"/>
          <w:szCs w:val="24"/>
        </w:rPr>
        <w:t xml:space="preserve">nesmluvního </w:t>
      </w:r>
      <w:r w:rsidRPr="0001070A">
        <w:rPr>
          <w:rFonts w:ascii="Times New Roman" w:hAnsi="Times New Roman" w:cs="Times New Roman"/>
          <w:sz w:val="24"/>
          <w:szCs w:val="24"/>
        </w:rPr>
        <w:t xml:space="preserve">státu – daň zaplacená v zahraničí se neodečítá od daně, ale od základu daně </w:t>
      </w:r>
    </w:p>
    <w:p w14:paraId="6D445BFB" w14:textId="77777777" w:rsidR="003D07F0" w:rsidRPr="0001070A" w:rsidRDefault="003D07F0" w:rsidP="003D07F0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příjem je zdaněný dvakrát (z titulu zdroje, z titulu rezidence), o daňovou povinnost je snížen základ daně v tuzemsku</w:t>
      </w:r>
    </w:p>
    <w:p w14:paraId="7289AC3C" w14:textId="77777777" w:rsidR="003D07F0" w:rsidRPr="0001070A" w:rsidRDefault="003D07F0" w:rsidP="003D07F0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příjmy ze </w:t>
      </w:r>
      <w:r w:rsidRPr="0001070A">
        <w:rPr>
          <w:rFonts w:ascii="Times New Roman" w:hAnsi="Times New Roman" w:cs="Times New Roman"/>
          <w:b/>
          <w:bCs/>
          <w:sz w:val="24"/>
          <w:szCs w:val="24"/>
        </w:rPr>
        <w:t>smluvního</w:t>
      </w:r>
      <w:r w:rsidRPr="0001070A">
        <w:rPr>
          <w:rFonts w:ascii="Times New Roman" w:hAnsi="Times New Roman" w:cs="Times New Roman"/>
          <w:sz w:val="24"/>
          <w:szCs w:val="24"/>
        </w:rPr>
        <w:t xml:space="preserve"> státu – aplikace vybrané metody zamezení dvojího zdanění </w:t>
      </w:r>
    </w:p>
    <w:p w14:paraId="26A163F9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8509C5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Metody zabránění dvojímu zdanění </w:t>
      </w:r>
    </w:p>
    <w:p w14:paraId="42D49AE4" w14:textId="77777777" w:rsidR="003D07F0" w:rsidRPr="0001070A" w:rsidRDefault="003D07F0" w:rsidP="003D07F0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Opatření vnitrostátní, dvoustranná, mezinárodní</w:t>
      </w:r>
    </w:p>
    <w:p w14:paraId="7146EBE0" w14:textId="77777777" w:rsidR="003D07F0" w:rsidRPr="0001070A" w:rsidRDefault="003D07F0" w:rsidP="003D07F0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Metoda </w:t>
      </w:r>
      <w:r w:rsidRPr="0001070A">
        <w:rPr>
          <w:rFonts w:ascii="Times New Roman" w:hAnsi="Times New Roman" w:cs="Times New Roman"/>
          <w:b/>
          <w:bCs/>
          <w:sz w:val="24"/>
          <w:szCs w:val="24"/>
        </w:rPr>
        <w:t>vynětí</w:t>
      </w:r>
    </w:p>
    <w:p w14:paraId="48D3E26A" w14:textId="77777777" w:rsidR="003D07F0" w:rsidRPr="0001070A" w:rsidRDefault="003D07F0" w:rsidP="003D07F0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Vynětí s výhradou progrese – zprůměrováním,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nadečtením</w:t>
      </w:r>
      <w:proofErr w:type="spellEnd"/>
    </w:p>
    <w:p w14:paraId="03A1E809" w14:textId="77777777" w:rsidR="003D07F0" w:rsidRPr="0001070A" w:rsidRDefault="003D07F0" w:rsidP="003D07F0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Úplné vynětí </w:t>
      </w:r>
    </w:p>
    <w:p w14:paraId="754F477B" w14:textId="77777777" w:rsidR="003D07F0" w:rsidRPr="0001070A" w:rsidRDefault="003D07F0" w:rsidP="003D07F0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Metoda </w:t>
      </w:r>
      <w:r w:rsidRPr="0001070A">
        <w:rPr>
          <w:rFonts w:ascii="Times New Roman" w:hAnsi="Times New Roman" w:cs="Times New Roman"/>
          <w:b/>
          <w:bCs/>
          <w:sz w:val="24"/>
          <w:szCs w:val="24"/>
        </w:rPr>
        <w:t>zápočtu -</w:t>
      </w:r>
      <w:r w:rsidRPr="0001070A">
        <w:rPr>
          <w:rFonts w:ascii="Times New Roman" w:hAnsi="Times New Roman" w:cs="Times New Roman"/>
          <w:sz w:val="24"/>
          <w:szCs w:val="24"/>
        </w:rPr>
        <w:t xml:space="preserve"> daň, která byla zaplacena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1070A">
        <w:rPr>
          <w:rFonts w:ascii="Times New Roman" w:hAnsi="Times New Roman" w:cs="Times New Roman"/>
          <w:sz w:val="24"/>
          <w:szCs w:val="24"/>
        </w:rPr>
        <w:t>zahraničí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1070A">
        <w:rPr>
          <w:rFonts w:ascii="Times New Roman" w:hAnsi="Times New Roman" w:cs="Times New Roman"/>
          <w:sz w:val="24"/>
          <w:szCs w:val="24"/>
        </w:rPr>
        <w:t xml:space="preserve"> se započítá na úhradu daně v tuzemsku </w:t>
      </w:r>
    </w:p>
    <w:p w14:paraId="7D762BF2" w14:textId="77777777" w:rsidR="003D07F0" w:rsidRPr="0001070A" w:rsidRDefault="003D07F0" w:rsidP="003D07F0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Zápočet plný</w:t>
      </w:r>
    </w:p>
    <w:p w14:paraId="3980E344" w14:textId="77777777" w:rsidR="003D07F0" w:rsidRPr="0001070A" w:rsidRDefault="003D07F0" w:rsidP="003D07F0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Zápočet prostý </w:t>
      </w:r>
    </w:p>
    <w:p w14:paraId="209B8764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A5B916" w14:textId="628E5E5D" w:rsidR="003D07F0" w:rsidRPr="0001070A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b/>
          <w:bCs/>
          <w:sz w:val="24"/>
          <w:szCs w:val="24"/>
        </w:rPr>
        <w:t xml:space="preserve">Příklad </w:t>
      </w:r>
      <w:r w:rsidRPr="007E557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</w:t>
      </w:r>
      <w:r w:rsidR="007E5574" w:rsidRPr="007E557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– tyto příklady u zápočtu nejsou</w:t>
      </w:r>
      <w:r w:rsidR="007E55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5BA257C" w14:textId="61C043A8" w:rsidR="003D07F0" w:rsidRPr="0001070A" w:rsidRDefault="00B014C5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Jakub vykázal za rok 202</w:t>
      </w:r>
      <w:r w:rsidR="007E5574">
        <w:rPr>
          <w:rFonts w:ascii="Times New Roman" w:hAnsi="Times New Roman" w:cs="Times New Roman"/>
          <w:sz w:val="24"/>
          <w:szCs w:val="24"/>
        </w:rPr>
        <w:t>3</w:t>
      </w:r>
      <w:r w:rsidR="003D07F0" w:rsidRPr="0001070A">
        <w:rPr>
          <w:rFonts w:ascii="Times New Roman" w:hAnsi="Times New Roman" w:cs="Times New Roman"/>
          <w:sz w:val="24"/>
          <w:szCs w:val="24"/>
        </w:rPr>
        <w:t xml:space="preserve"> dílčí základ daně dle § 7 ZDP 550 000 Kč, v zahraničí mu byly vyplaceny dividendy ve výši 100 000 Kč. Předpokládejte, že v rámci metody zabránění dvojího zdanění je aplikována metoda</w:t>
      </w:r>
    </w:p>
    <w:p w14:paraId="413CCB22" w14:textId="77777777" w:rsidR="003D07F0" w:rsidRPr="0001070A" w:rsidRDefault="003D07F0" w:rsidP="003D07F0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Úplného vynětí </w:t>
      </w:r>
    </w:p>
    <w:p w14:paraId="54499CF6" w14:textId="77777777" w:rsidR="003D07F0" w:rsidRPr="0001070A" w:rsidRDefault="003D07F0" w:rsidP="003D07F0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Vynětí s výhradou</w:t>
      </w:r>
      <w:r w:rsidR="00B014C5">
        <w:rPr>
          <w:rFonts w:ascii="Times New Roman" w:hAnsi="Times New Roman" w:cs="Times New Roman"/>
          <w:sz w:val="24"/>
          <w:szCs w:val="24"/>
        </w:rPr>
        <w:t xml:space="preserve"> progrese, s tím, že příjmy do </w:t>
      </w:r>
      <w:r w:rsidRPr="0001070A">
        <w:rPr>
          <w:rFonts w:ascii="Times New Roman" w:hAnsi="Times New Roman" w:cs="Times New Roman"/>
          <w:sz w:val="24"/>
          <w:szCs w:val="24"/>
        </w:rPr>
        <w:t xml:space="preserve">200 000 Kč jsou zdaněny sazbou daně 15 %, příjmy nad 200 000 Kč podléhají sazbě 20 % </w:t>
      </w:r>
    </w:p>
    <w:p w14:paraId="27175964" w14:textId="77777777" w:rsidR="003D07F0" w:rsidRPr="0001070A" w:rsidRDefault="003D07F0" w:rsidP="003D07F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5CD2ADE" w14:textId="77777777" w:rsidR="003D07F0" w:rsidRPr="0001070A" w:rsidRDefault="003D07F0" w:rsidP="003D07F0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1070A">
        <w:rPr>
          <w:rFonts w:ascii="Times New Roman" w:hAnsi="Times New Roman" w:cs="Times New Roman"/>
          <w:b/>
          <w:bCs/>
          <w:color w:val="FF0000"/>
          <w:sz w:val="24"/>
          <w:szCs w:val="24"/>
        </w:rPr>
        <w:t>Úplné vynětí</w:t>
      </w:r>
    </w:p>
    <w:p w14:paraId="6AF262CF" w14:textId="77777777" w:rsidR="003D07F0" w:rsidRPr="0001070A" w:rsidRDefault="003D07F0" w:rsidP="003D07F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1070A">
        <w:rPr>
          <w:rFonts w:ascii="Times New Roman" w:hAnsi="Times New Roman" w:cs="Times New Roman"/>
          <w:color w:val="FF0000"/>
          <w:sz w:val="24"/>
          <w:szCs w:val="24"/>
        </w:rPr>
        <w:t xml:space="preserve">      základ daně = 650 000 Kč – 100 000 Kč = 550 000</w:t>
      </w:r>
    </w:p>
    <w:p w14:paraId="6FC58912" w14:textId="77777777" w:rsidR="003D07F0" w:rsidRPr="0001070A" w:rsidRDefault="003D07F0" w:rsidP="003D07F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1070A">
        <w:rPr>
          <w:rFonts w:ascii="Times New Roman" w:hAnsi="Times New Roman" w:cs="Times New Roman"/>
          <w:color w:val="FF0000"/>
          <w:sz w:val="24"/>
          <w:szCs w:val="24"/>
        </w:rPr>
        <w:t xml:space="preserve">      sazba daně = 15 %, daň = 82 500 Kč</w:t>
      </w:r>
    </w:p>
    <w:p w14:paraId="08286AB5" w14:textId="77777777" w:rsidR="003D07F0" w:rsidRPr="0001070A" w:rsidRDefault="003D07F0" w:rsidP="003D07F0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1070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Vynětí s výhradou progrese  </w:t>
      </w:r>
    </w:p>
    <w:p w14:paraId="11925C47" w14:textId="77777777" w:rsidR="003D07F0" w:rsidRPr="0001070A" w:rsidRDefault="003D07F0" w:rsidP="003D07F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1070A">
        <w:rPr>
          <w:rFonts w:ascii="Times New Roman" w:hAnsi="Times New Roman" w:cs="Times New Roman"/>
          <w:color w:val="FF0000"/>
          <w:sz w:val="24"/>
          <w:szCs w:val="24"/>
        </w:rPr>
        <w:t xml:space="preserve">      základ daně = 550 000 Kč</w:t>
      </w:r>
    </w:p>
    <w:p w14:paraId="36EABDF3" w14:textId="77777777" w:rsidR="003D07F0" w:rsidRPr="0001070A" w:rsidRDefault="003D07F0" w:rsidP="003D07F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1070A">
        <w:rPr>
          <w:rFonts w:ascii="Times New Roman" w:hAnsi="Times New Roman" w:cs="Times New Roman"/>
          <w:color w:val="FF0000"/>
          <w:sz w:val="24"/>
          <w:szCs w:val="24"/>
        </w:rPr>
        <w:t xml:space="preserve">      sazba daně = 15 %, 20 %</w:t>
      </w:r>
    </w:p>
    <w:p w14:paraId="6685E8EB" w14:textId="77777777" w:rsidR="003D07F0" w:rsidRPr="0001070A" w:rsidRDefault="003D07F0" w:rsidP="003D07F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1070A">
        <w:rPr>
          <w:rFonts w:ascii="Times New Roman" w:hAnsi="Times New Roman" w:cs="Times New Roman"/>
          <w:color w:val="FF0000"/>
          <w:sz w:val="24"/>
          <w:szCs w:val="24"/>
        </w:rPr>
        <w:t xml:space="preserve">      daň = 100 000 . 15 % + 450 000 . 20 % = 105 000 Kč </w:t>
      </w:r>
    </w:p>
    <w:p w14:paraId="3A4570D0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5B58E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Metoda zápočtu </w:t>
      </w:r>
    </w:p>
    <w:p w14:paraId="1712C1D5" w14:textId="77777777" w:rsidR="003D07F0" w:rsidRPr="0001070A" w:rsidRDefault="003D07F0" w:rsidP="003D07F0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Příjem je zahrnut do základu daně, daň zaplacená v zahraničí je započtena</w:t>
      </w:r>
    </w:p>
    <w:p w14:paraId="45A2D987" w14:textId="77777777" w:rsidR="003D07F0" w:rsidRPr="0001070A" w:rsidRDefault="003D07F0" w:rsidP="003D07F0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Zápočet </w:t>
      </w:r>
      <w:r w:rsidRPr="0001070A">
        <w:rPr>
          <w:rFonts w:ascii="Times New Roman" w:hAnsi="Times New Roman" w:cs="Times New Roman"/>
          <w:b/>
          <w:bCs/>
          <w:sz w:val="24"/>
          <w:szCs w:val="24"/>
        </w:rPr>
        <w:t>plný</w:t>
      </w:r>
      <w:r w:rsidRPr="0001070A">
        <w:rPr>
          <w:rFonts w:ascii="Times New Roman" w:hAnsi="Times New Roman" w:cs="Times New Roman"/>
          <w:sz w:val="24"/>
          <w:szCs w:val="24"/>
        </w:rPr>
        <w:t xml:space="preserve"> – odečte se celá daň zaplacená v zahraničí </w:t>
      </w:r>
    </w:p>
    <w:p w14:paraId="137FDF05" w14:textId="77777777" w:rsidR="003D07F0" w:rsidRPr="0001070A" w:rsidRDefault="003D07F0" w:rsidP="003D07F0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Zápočet </w:t>
      </w:r>
      <w:r w:rsidRPr="0001070A">
        <w:rPr>
          <w:rFonts w:ascii="Times New Roman" w:hAnsi="Times New Roman" w:cs="Times New Roman"/>
          <w:b/>
          <w:bCs/>
          <w:sz w:val="24"/>
          <w:szCs w:val="24"/>
        </w:rPr>
        <w:t>prostý</w:t>
      </w:r>
      <w:r w:rsidRPr="0001070A">
        <w:rPr>
          <w:rFonts w:ascii="Times New Roman" w:hAnsi="Times New Roman" w:cs="Times New Roman"/>
          <w:sz w:val="24"/>
          <w:szCs w:val="24"/>
        </w:rPr>
        <w:t xml:space="preserve"> – daň se započte maximálně do výše daňové povinnosti z daného příjmu v tuzemsku</w:t>
      </w:r>
    </w:p>
    <w:p w14:paraId="2B9B8787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AB0F2D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71EF9D" w14:textId="77777777" w:rsidR="00B014C5" w:rsidRDefault="00B014C5" w:rsidP="003D07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0231B4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398DCC" w14:textId="280E40F7" w:rsidR="003D07F0" w:rsidRPr="00384028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028">
        <w:rPr>
          <w:rFonts w:ascii="Times New Roman" w:hAnsi="Times New Roman" w:cs="Times New Roman"/>
          <w:b/>
          <w:bCs/>
          <w:sz w:val="24"/>
          <w:szCs w:val="24"/>
        </w:rPr>
        <w:t>Příklad 2</w:t>
      </w:r>
      <w:r w:rsidR="007E55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5574" w:rsidRPr="007E557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– tyto příklady u zápočtu nejsou</w:t>
      </w:r>
      <w:r w:rsidR="007E55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01A8EB" w14:textId="4CACB5E8" w:rsidR="00B014C5" w:rsidRPr="00B014C5" w:rsidRDefault="00B014C5" w:rsidP="00B0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4C5">
        <w:rPr>
          <w:rFonts w:ascii="Times New Roman" w:hAnsi="Times New Roman" w:cs="Times New Roman"/>
          <w:sz w:val="24"/>
          <w:szCs w:val="24"/>
        </w:rPr>
        <w:t>Úspěšný fotbalista dosáhl za rok 202</w:t>
      </w:r>
      <w:r w:rsidR="007E5574">
        <w:rPr>
          <w:rFonts w:ascii="Times New Roman" w:hAnsi="Times New Roman" w:cs="Times New Roman"/>
          <w:sz w:val="24"/>
          <w:szCs w:val="24"/>
        </w:rPr>
        <w:t>3</w:t>
      </w:r>
      <w:r w:rsidRPr="00B014C5">
        <w:rPr>
          <w:rFonts w:ascii="Times New Roman" w:hAnsi="Times New Roman" w:cs="Times New Roman"/>
          <w:sz w:val="24"/>
          <w:szCs w:val="24"/>
        </w:rPr>
        <w:t xml:space="preserve"> příjmů ze zahraničí (dle § 6 ZDP) ve výši 6 000 000 Kč (před zdaněním), daň zaplacená v zahraničí byla ve výši 960 000 Kč. Příjmy z tuzemska (dle § 6 ZDP) byly ve výši 1 000 000 Kč (před zdaněním). Stanovte daňovou povinnost fotbalisty, pokud je aplikována:</w:t>
      </w:r>
    </w:p>
    <w:p w14:paraId="0BBA2919" w14:textId="77777777" w:rsidR="00734EF7" w:rsidRPr="00B014C5" w:rsidRDefault="00B014C5" w:rsidP="00B014C5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4C5">
        <w:rPr>
          <w:rFonts w:ascii="Times New Roman" w:hAnsi="Times New Roman" w:cs="Times New Roman"/>
          <w:sz w:val="24"/>
          <w:szCs w:val="24"/>
        </w:rPr>
        <w:t xml:space="preserve">Metoda plného zápočtu </w:t>
      </w:r>
    </w:p>
    <w:p w14:paraId="7FC762DE" w14:textId="77777777" w:rsidR="00734EF7" w:rsidRPr="00B014C5" w:rsidRDefault="00B014C5" w:rsidP="00B014C5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4C5">
        <w:rPr>
          <w:rFonts w:ascii="Times New Roman" w:hAnsi="Times New Roman" w:cs="Times New Roman"/>
          <w:sz w:val="24"/>
          <w:szCs w:val="24"/>
        </w:rPr>
        <w:t xml:space="preserve">Metoda prostého zápočtu </w:t>
      </w:r>
    </w:p>
    <w:p w14:paraId="1F28E718" w14:textId="77777777" w:rsidR="00B014C5" w:rsidRPr="00B014C5" w:rsidRDefault="00B014C5" w:rsidP="00B0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4C5">
        <w:rPr>
          <w:rFonts w:ascii="Times New Roman" w:hAnsi="Times New Roman" w:cs="Times New Roman"/>
          <w:sz w:val="24"/>
          <w:szCs w:val="24"/>
        </w:rPr>
        <w:t>Sazba daně 15 %.</w:t>
      </w:r>
    </w:p>
    <w:p w14:paraId="7F3654B6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5CD7E1" w14:textId="77777777" w:rsidR="00B014C5" w:rsidRDefault="00B014C5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</w:p>
    <w:p w14:paraId="1ED2C60E" w14:textId="77777777" w:rsidR="00B014C5" w:rsidRPr="00B014C5" w:rsidRDefault="00B014C5" w:rsidP="00B014C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014C5">
        <w:rPr>
          <w:rFonts w:ascii="Times New Roman" w:hAnsi="Times New Roman" w:cs="Times New Roman"/>
          <w:color w:val="FF0000"/>
          <w:sz w:val="24"/>
          <w:szCs w:val="24"/>
        </w:rPr>
        <w:t xml:space="preserve">Základ daně: 7 000 000 Kč </w:t>
      </w:r>
    </w:p>
    <w:p w14:paraId="1704CF78" w14:textId="77777777" w:rsidR="00B014C5" w:rsidRPr="00B014C5" w:rsidRDefault="00B014C5" w:rsidP="00B014C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014C5">
        <w:rPr>
          <w:rFonts w:ascii="Times New Roman" w:hAnsi="Times New Roman" w:cs="Times New Roman"/>
          <w:color w:val="FF0000"/>
          <w:sz w:val="24"/>
          <w:szCs w:val="24"/>
        </w:rPr>
        <w:t>Sazba daně: 15 %</w:t>
      </w:r>
    </w:p>
    <w:p w14:paraId="2E97F3E7" w14:textId="77777777" w:rsidR="00B014C5" w:rsidRPr="00B014C5" w:rsidRDefault="00B014C5" w:rsidP="00B014C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014C5">
        <w:rPr>
          <w:rFonts w:ascii="Times New Roman" w:hAnsi="Times New Roman" w:cs="Times New Roman"/>
          <w:color w:val="FF0000"/>
          <w:sz w:val="24"/>
          <w:szCs w:val="24"/>
        </w:rPr>
        <w:t xml:space="preserve">Daň = 1 050 000 Kč </w:t>
      </w:r>
    </w:p>
    <w:p w14:paraId="1674BF6F" w14:textId="77777777" w:rsidR="00B014C5" w:rsidRPr="00B014C5" w:rsidRDefault="00B014C5" w:rsidP="00B014C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014C5">
        <w:rPr>
          <w:rFonts w:ascii="Times New Roman" w:hAnsi="Times New Roman" w:cs="Times New Roman"/>
          <w:color w:val="FF0000"/>
          <w:sz w:val="24"/>
          <w:szCs w:val="24"/>
        </w:rPr>
        <w:t xml:space="preserve">Daň zaplacená v zahraničí = 960 000 Kč </w:t>
      </w:r>
    </w:p>
    <w:p w14:paraId="17E0C8FD" w14:textId="77777777" w:rsidR="00B014C5" w:rsidRPr="00B014C5" w:rsidRDefault="00B014C5" w:rsidP="00B014C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014C5">
        <w:rPr>
          <w:rFonts w:ascii="Times New Roman" w:hAnsi="Times New Roman" w:cs="Times New Roman"/>
          <w:color w:val="FF0000"/>
          <w:sz w:val="24"/>
          <w:szCs w:val="24"/>
        </w:rPr>
        <w:t xml:space="preserve">Nedoplatek na dani = 1 050 000 – 960 000 = </w:t>
      </w:r>
      <w:r w:rsidRPr="00B014C5">
        <w:rPr>
          <w:rFonts w:ascii="Times New Roman" w:hAnsi="Times New Roman" w:cs="Times New Roman"/>
          <w:color w:val="FF0000"/>
          <w:sz w:val="24"/>
          <w:szCs w:val="24"/>
        </w:rPr>
        <w:br/>
        <w:t xml:space="preserve">90 000 Kč </w:t>
      </w:r>
    </w:p>
    <w:p w14:paraId="258B4636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115736" w14:textId="77777777" w:rsidR="003D07F0" w:rsidRDefault="00B014C5" w:rsidP="003D07F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B.</w:t>
      </w:r>
    </w:p>
    <w:p w14:paraId="134BAB68" w14:textId="77777777" w:rsidR="00B014C5" w:rsidRPr="00B014C5" w:rsidRDefault="00B014C5" w:rsidP="00B014C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014C5">
        <w:rPr>
          <w:rFonts w:ascii="Times New Roman" w:hAnsi="Times New Roman" w:cs="Times New Roman"/>
          <w:color w:val="FF0000"/>
          <w:sz w:val="24"/>
          <w:szCs w:val="24"/>
        </w:rPr>
        <w:t xml:space="preserve">Základ daně celkem: 7 000 000 Kč </w:t>
      </w:r>
    </w:p>
    <w:p w14:paraId="58FB60C3" w14:textId="77777777" w:rsidR="00B014C5" w:rsidRPr="00B014C5" w:rsidRDefault="00B014C5" w:rsidP="00B014C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014C5">
        <w:rPr>
          <w:rFonts w:ascii="Times New Roman" w:hAnsi="Times New Roman" w:cs="Times New Roman"/>
          <w:color w:val="FF0000"/>
          <w:sz w:val="24"/>
          <w:szCs w:val="24"/>
        </w:rPr>
        <w:t xml:space="preserve">Daň z příjmů ze zahraničí: 6 000 000 . 0,15 = </w:t>
      </w:r>
      <w:r w:rsidRPr="00B014C5">
        <w:rPr>
          <w:rFonts w:ascii="Times New Roman" w:hAnsi="Times New Roman" w:cs="Times New Roman"/>
          <w:color w:val="FF0000"/>
          <w:sz w:val="24"/>
          <w:szCs w:val="24"/>
        </w:rPr>
        <w:br/>
        <w:t xml:space="preserve">900 000 Kč </w:t>
      </w:r>
    </w:p>
    <w:p w14:paraId="3EBC0A95" w14:textId="77777777" w:rsidR="00B014C5" w:rsidRPr="00B014C5" w:rsidRDefault="00B014C5" w:rsidP="00B014C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014C5">
        <w:rPr>
          <w:rFonts w:ascii="Times New Roman" w:hAnsi="Times New Roman" w:cs="Times New Roman"/>
          <w:color w:val="FF0000"/>
          <w:sz w:val="24"/>
          <w:szCs w:val="24"/>
        </w:rPr>
        <w:t xml:space="preserve">Daň z příjmů zaplacená v zahraničí: 960 000 Kč </w:t>
      </w:r>
    </w:p>
    <w:p w14:paraId="4EEEC5A1" w14:textId="77777777" w:rsidR="00B014C5" w:rsidRPr="00B014C5" w:rsidRDefault="00B014C5" w:rsidP="00B014C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014C5">
        <w:rPr>
          <w:rFonts w:ascii="Times New Roman" w:hAnsi="Times New Roman" w:cs="Times New Roman"/>
          <w:color w:val="FF0000"/>
          <w:sz w:val="24"/>
          <w:szCs w:val="24"/>
        </w:rPr>
        <w:t xml:space="preserve">Daň z příjmů z tuzemska: 1 000 000 . 0,15 = 150 000 Kč </w:t>
      </w:r>
    </w:p>
    <w:p w14:paraId="3920809D" w14:textId="77777777" w:rsidR="00B014C5" w:rsidRPr="00B014C5" w:rsidRDefault="00B014C5" w:rsidP="00B014C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014C5">
        <w:rPr>
          <w:rFonts w:ascii="Times New Roman" w:hAnsi="Times New Roman" w:cs="Times New Roman"/>
          <w:color w:val="FF0000"/>
          <w:sz w:val="24"/>
          <w:szCs w:val="24"/>
        </w:rPr>
        <w:t xml:space="preserve">Daňová povinnost: 150 000 Kč (daň z příjmů v zahraničí je započtena max. do výše daně z příjmů v ČR) </w:t>
      </w:r>
    </w:p>
    <w:p w14:paraId="2EF2D9AF" w14:textId="77777777" w:rsidR="00B014C5" w:rsidRDefault="00B014C5" w:rsidP="003D07F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595CF77" w14:textId="77777777" w:rsidR="003D07F0" w:rsidRDefault="003D07F0" w:rsidP="003D07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D07F0" w:rsidSect="0085393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8EF4B" w14:textId="77777777" w:rsidR="003D07F0" w:rsidRDefault="003D07F0" w:rsidP="003D07F0">
      <w:pPr>
        <w:spacing w:after="0" w:line="240" w:lineRule="auto"/>
      </w:pPr>
      <w:r>
        <w:separator/>
      </w:r>
    </w:p>
  </w:endnote>
  <w:endnote w:type="continuationSeparator" w:id="0">
    <w:p w14:paraId="0D9104B6" w14:textId="77777777" w:rsidR="003D07F0" w:rsidRDefault="003D07F0" w:rsidP="003D0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6851551"/>
      <w:docPartObj>
        <w:docPartGallery w:val="Page Numbers (Bottom of Page)"/>
        <w:docPartUnique/>
      </w:docPartObj>
    </w:sdtPr>
    <w:sdtEndPr/>
    <w:sdtContent>
      <w:p w14:paraId="1B74C620" w14:textId="77777777" w:rsidR="003D07F0" w:rsidRDefault="00853939">
        <w:pPr>
          <w:pStyle w:val="Zpat"/>
          <w:jc w:val="center"/>
        </w:pPr>
        <w:r>
          <w:fldChar w:fldCharType="begin"/>
        </w:r>
        <w:r w:rsidR="003D07F0">
          <w:instrText>PAGE   \* MERGEFORMAT</w:instrText>
        </w:r>
        <w:r>
          <w:fldChar w:fldCharType="separate"/>
        </w:r>
        <w:r w:rsidR="00176C88">
          <w:rPr>
            <w:noProof/>
          </w:rPr>
          <w:t>1</w:t>
        </w:r>
        <w:r>
          <w:fldChar w:fldCharType="end"/>
        </w:r>
      </w:p>
    </w:sdtContent>
  </w:sdt>
  <w:p w14:paraId="69E17544" w14:textId="77777777" w:rsidR="003D07F0" w:rsidRDefault="003D07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4C73F" w14:textId="77777777" w:rsidR="003D07F0" w:rsidRDefault="003D07F0" w:rsidP="003D07F0">
      <w:pPr>
        <w:spacing w:after="0" w:line="240" w:lineRule="auto"/>
      </w:pPr>
      <w:r>
        <w:separator/>
      </w:r>
    </w:p>
  </w:footnote>
  <w:footnote w:type="continuationSeparator" w:id="0">
    <w:p w14:paraId="3CC74226" w14:textId="77777777" w:rsidR="003D07F0" w:rsidRDefault="003D07F0" w:rsidP="003D0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69B0"/>
    <w:multiLevelType w:val="hybridMultilevel"/>
    <w:tmpl w:val="A2EA5704"/>
    <w:lvl w:ilvl="0" w:tplc="CF740C7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AE171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6BE0D3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05C8D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2C8977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5262DF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270846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FFAA7D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E3A9A7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8C35F4"/>
    <w:multiLevelType w:val="hybridMultilevel"/>
    <w:tmpl w:val="0748B0E6"/>
    <w:lvl w:ilvl="0" w:tplc="0DEC55C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CA8E8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9CF4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BCD90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64DA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C41B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402BC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6DBD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9CB22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6176"/>
    <w:multiLevelType w:val="hybridMultilevel"/>
    <w:tmpl w:val="62165F5C"/>
    <w:lvl w:ilvl="0" w:tplc="AFDE829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AE711E">
      <w:start w:val="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C6E1F6">
      <w:start w:val="66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32EE7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264C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B451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28FF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3A24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208F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6BC2"/>
    <w:multiLevelType w:val="hybridMultilevel"/>
    <w:tmpl w:val="96CEFA88"/>
    <w:lvl w:ilvl="0" w:tplc="D5D4E0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AC4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7060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441B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1EA0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F44DD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1C0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DADC1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0C2BF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51470"/>
    <w:multiLevelType w:val="hybridMultilevel"/>
    <w:tmpl w:val="A254F432"/>
    <w:lvl w:ilvl="0" w:tplc="BCF0C3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C04024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1EE18C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5EE432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66A5DE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43E8DF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EF2D9C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9B2534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77CE8B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AE7FA3"/>
    <w:multiLevelType w:val="hybridMultilevel"/>
    <w:tmpl w:val="BE2AF5AE"/>
    <w:lvl w:ilvl="0" w:tplc="C17C53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A4E5D6">
      <w:start w:val="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BE840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88529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701F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2E820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E4E1D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D890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14057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02E10"/>
    <w:multiLevelType w:val="hybridMultilevel"/>
    <w:tmpl w:val="B96E384A"/>
    <w:lvl w:ilvl="0" w:tplc="E954E6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9437FA">
      <w:start w:val="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2E52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7088B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1CD5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94BA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A288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DC5C5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2470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02150"/>
    <w:multiLevelType w:val="hybridMultilevel"/>
    <w:tmpl w:val="4FACCA42"/>
    <w:lvl w:ilvl="0" w:tplc="EAB60A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16B712">
      <w:start w:val="6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B40B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215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B2C6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1AFA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7A0C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BCCF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4E42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B6954"/>
    <w:multiLevelType w:val="hybridMultilevel"/>
    <w:tmpl w:val="1212B430"/>
    <w:lvl w:ilvl="0" w:tplc="240E8B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30CB4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7AA3D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3A9E5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F0A2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BE41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6A14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6202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588F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31E9F"/>
    <w:multiLevelType w:val="hybridMultilevel"/>
    <w:tmpl w:val="F56CC3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C22DC"/>
    <w:multiLevelType w:val="hybridMultilevel"/>
    <w:tmpl w:val="0C883664"/>
    <w:lvl w:ilvl="0" w:tplc="F026A9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BA24B5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E74F38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6A0523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258F3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E4A376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C4C95D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5DA6CC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BB202D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A05E4A"/>
    <w:multiLevelType w:val="hybridMultilevel"/>
    <w:tmpl w:val="F7DC45E8"/>
    <w:lvl w:ilvl="0" w:tplc="697ACA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66FBD0">
      <w:start w:val="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4AD07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80ED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78608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A63C9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817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3AAD2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72ED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A0846"/>
    <w:multiLevelType w:val="hybridMultilevel"/>
    <w:tmpl w:val="1500F556"/>
    <w:lvl w:ilvl="0" w:tplc="7A9899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77EDF3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A4A352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C90A96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3C4033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6F44DE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400B13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4A4926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8825D3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FB585C"/>
    <w:multiLevelType w:val="hybridMultilevel"/>
    <w:tmpl w:val="365A91D2"/>
    <w:lvl w:ilvl="0" w:tplc="B93A88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7EAB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34A4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E239A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54F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AB92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3CD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AC36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92895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E4C33"/>
    <w:multiLevelType w:val="hybridMultilevel"/>
    <w:tmpl w:val="F83C9E02"/>
    <w:lvl w:ilvl="0" w:tplc="5060C1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202CD6">
      <w:start w:val="6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0CEC2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24150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E0E50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A4E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9EC4D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0210C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90D8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028AD"/>
    <w:multiLevelType w:val="hybridMultilevel"/>
    <w:tmpl w:val="6DD26F62"/>
    <w:lvl w:ilvl="0" w:tplc="5B1012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0E2CB2">
      <w:start w:val="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4EBF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068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603F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0C667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EE9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CC8B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5CADD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16304"/>
    <w:multiLevelType w:val="hybridMultilevel"/>
    <w:tmpl w:val="9668A49E"/>
    <w:lvl w:ilvl="0" w:tplc="E092E3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D8F2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7AEA4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0678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4082A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6650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54A8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50F7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F01E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31834"/>
    <w:multiLevelType w:val="hybridMultilevel"/>
    <w:tmpl w:val="5B425BE2"/>
    <w:lvl w:ilvl="0" w:tplc="6FBE4E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3096BA">
      <w:start w:val="6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B810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F2CBF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C27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CAF2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4E96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52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0A86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E6F91"/>
    <w:multiLevelType w:val="hybridMultilevel"/>
    <w:tmpl w:val="E1062432"/>
    <w:lvl w:ilvl="0" w:tplc="F35E1F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42276A">
      <w:start w:val="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1CA3E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54689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F03A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982CB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7A491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9E94B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239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5A6450"/>
    <w:multiLevelType w:val="hybridMultilevel"/>
    <w:tmpl w:val="2D6CE8DC"/>
    <w:lvl w:ilvl="0" w:tplc="BD2840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FE833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EAC47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FE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3895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8A62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C0F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CA14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34EF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1137E"/>
    <w:multiLevelType w:val="hybridMultilevel"/>
    <w:tmpl w:val="E99A4630"/>
    <w:lvl w:ilvl="0" w:tplc="03B8E5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CA1792">
      <w:start w:val="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62E3B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5CC0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BE7FF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B4517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3A6B4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361C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D86A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80E07"/>
    <w:multiLevelType w:val="hybridMultilevel"/>
    <w:tmpl w:val="9D484CF4"/>
    <w:lvl w:ilvl="0" w:tplc="A3AC82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CAAE87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62E4DC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028C78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FF459F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A04A6E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DB8662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85034A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B3003B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9B3848"/>
    <w:multiLevelType w:val="hybridMultilevel"/>
    <w:tmpl w:val="9E1AD6B4"/>
    <w:lvl w:ilvl="0" w:tplc="2EBEAB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1E75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CE144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9E31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04858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40FF2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8EAB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42EAA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6E639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9"/>
  </w:num>
  <w:num w:numId="4">
    <w:abstractNumId w:val="18"/>
  </w:num>
  <w:num w:numId="5">
    <w:abstractNumId w:val="6"/>
  </w:num>
  <w:num w:numId="6">
    <w:abstractNumId w:val="11"/>
  </w:num>
  <w:num w:numId="7">
    <w:abstractNumId w:val="22"/>
  </w:num>
  <w:num w:numId="8">
    <w:abstractNumId w:val="2"/>
  </w:num>
  <w:num w:numId="9">
    <w:abstractNumId w:val="16"/>
  </w:num>
  <w:num w:numId="10">
    <w:abstractNumId w:val="3"/>
  </w:num>
  <w:num w:numId="11">
    <w:abstractNumId w:val="14"/>
  </w:num>
  <w:num w:numId="12">
    <w:abstractNumId w:val="7"/>
  </w:num>
  <w:num w:numId="13">
    <w:abstractNumId w:val="1"/>
  </w:num>
  <w:num w:numId="14">
    <w:abstractNumId w:val="5"/>
  </w:num>
  <w:num w:numId="15">
    <w:abstractNumId w:val="13"/>
  </w:num>
  <w:num w:numId="16">
    <w:abstractNumId w:val="20"/>
  </w:num>
  <w:num w:numId="17">
    <w:abstractNumId w:val="21"/>
  </w:num>
  <w:num w:numId="18">
    <w:abstractNumId w:val="12"/>
  </w:num>
  <w:num w:numId="19">
    <w:abstractNumId w:val="0"/>
  </w:num>
  <w:num w:numId="20">
    <w:abstractNumId w:val="8"/>
  </w:num>
  <w:num w:numId="21">
    <w:abstractNumId w:val="4"/>
  </w:num>
  <w:num w:numId="22">
    <w:abstractNumId w:val="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7F0"/>
    <w:rsid w:val="00082C35"/>
    <w:rsid w:val="00176C88"/>
    <w:rsid w:val="003D07F0"/>
    <w:rsid w:val="004236F5"/>
    <w:rsid w:val="004B0C27"/>
    <w:rsid w:val="0051109E"/>
    <w:rsid w:val="00734EF7"/>
    <w:rsid w:val="007E5574"/>
    <w:rsid w:val="00853939"/>
    <w:rsid w:val="00863273"/>
    <w:rsid w:val="009068DD"/>
    <w:rsid w:val="009965A4"/>
    <w:rsid w:val="00B014C5"/>
    <w:rsid w:val="00B93810"/>
    <w:rsid w:val="00C938DB"/>
    <w:rsid w:val="00D4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F8A25"/>
  <w15:docId w15:val="{EA31BC94-652A-46CC-881C-2626372D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07F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07F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D0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07F0"/>
  </w:style>
  <w:style w:type="paragraph" w:styleId="Zpat">
    <w:name w:val="footer"/>
    <w:basedOn w:val="Normln"/>
    <w:link w:val="ZpatChar"/>
    <w:uiPriority w:val="99"/>
    <w:unhideWhenUsed/>
    <w:rsid w:val="003D0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0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7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9870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29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1191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Krajňák Michal</cp:lastModifiedBy>
  <cp:revision>13</cp:revision>
  <dcterms:created xsi:type="dcterms:W3CDTF">2014-04-11T16:45:00Z</dcterms:created>
  <dcterms:modified xsi:type="dcterms:W3CDTF">2023-06-10T06:05:00Z</dcterms:modified>
</cp:coreProperties>
</file>