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8F47" w14:textId="3D7CB51F" w:rsidR="00E65F15" w:rsidRDefault="006313E2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FD9C4" wp14:editId="2AC98B11">
                <wp:simplePos x="0" y="0"/>
                <wp:positionH relativeFrom="column">
                  <wp:posOffset>-25400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A91BC" id="Obdélník 11" o:spid="_x0000_s1026" style="position:absolute;margin-left:-2pt;margin-top:-5.15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KgQAIAAGs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 w:rsidR="00E65F15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5F15">
        <w:rPr>
          <w:rFonts w:ascii="Times New Roman" w:hAnsi="Times New Roman" w:cs="Times New Roman"/>
          <w:b/>
          <w:sz w:val="24"/>
          <w:szCs w:val="24"/>
        </w:rPr>
        <w:t xml:space="preserve"> – Daň z nemovitých věcí – stavby a pozemky k podnikání </w:t>
      </w:r>
    </w:p>
    <w:p w14:paraId="37BFA997" w14:textId="77777777" w:rsidR="006313E2" w:rsidRPr="006313E2" w:rsidRDefault="006313E2" w:rsidP="006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Paní Anežka, OSVČ vlastní v Brně, tyto nemovité věci </w:t>
      </w:r>
    </w:p>
    <w:p w14:paraId="4ED9CA31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>Budovu A, má 1 nadzemní podlaží, výměra zastavěné plochy 290 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13E2">
        <w:rPr>
          <w:rFonts w:ascii="Times New Roman" w:hAnsi="Times New Roman" w:cs="Times New Roman"/>
          <w:sz w:val="24"/>
          <w:szCs w:val="24"/>
        </w:rPr>
        <w:t xml:space="preserve">. V přízemí i v nadzemním podlaží provozuje paní Anežka cukrárnu </w:t>
      </w:r>
    </w:p>
    <w:p w14:paraId="142E8675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Budovu B, má 2 nadzemní podlaží, výměra zastavěné plochy je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410m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 xml:space="preserve">, celá budova je využívána jako pekárna </w:t>
      </w:r>
    </w:p>
    <w:p w14:paraId="57E8E303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Pozemek o výměře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250m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>, na kterém se nachází budova C, zbylá část plochy je určena jako parkoviště pro zákazníky pekárny</w:t>
      </w:r>
    </w:p>
    <w:p w14:paraId="1C59BFE3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Byt (využíván pro bydlení), výměra podlahové plochy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80m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 xml:space="preserve"> (součástí není podíl na pozemku)  </w:t>
      </w:r>
    </w:p>
    <w:p w14:paraId="766AE2C4" w14:textId="77777777" w:rsidR="00E65F15" w:rsidRPr="00E65F15" w:rsidRDefault="00E65F15" w:rsidP="00E65F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D8A5FC7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Brno vydalo obecně závaznou vyhláškou, v níž stanovuje koeficient 1,5 pro zdanitelné stavby dle § 11/1/b, § 11/1/c a § 11/1/d. Stanoven je také místní koeficient 4. Všechny nemovité věci se nachází v městské části Královo Pole, kde je koeficient dle počtu obyvatel zvýšen o 1 kategorii. </w:t>
      </w:r>
    </w:p>
    <w:p w14:paraId="408948C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DB910DE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FC8FF0B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0CED4681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05B67FEF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556A8B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2893A430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30E9D41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22B39BF5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F72DB9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45E5A8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2C331B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5567F4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25D020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522EA4E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7839B9C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EF5917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DD9EA8D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99674C2" w14:textId="4AF92279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BE8E1" wp14:editId="57C19076">
                <wp:simplePos x="0" y="0"/>
                <wp:positionH relativeFrom="column">
                  <wp:posOffset>-27940</wp:posOffset>
                </wp:positionH>
                <wp:positionV relativeFrom="paragraph">
                  <wp:posOffset>-62865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47AA" id="Obdélník 13" o:spid="_x0000_s1026" style="position:absolute;margin-left:-2.2pt;margin-top:-4.9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6313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nemovitých věcí </w:t>
      </w:r>
    </w:p>
    <w:p w14:paraId="1C0A2B5E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Poplatník – fyzická osoba – vlastní v Českých Budějovicích (statutární město) níže uvedené stavby a jednotky. České Budějovice vydanou vyhláškou stanovily koeficient 3,5 dle § 11/3/a; koeficient 1,5 dle § 11/3/b pro stavby a jednotky podle § 11/1/</w:t>
      </w:r>
      <w:proofErr w:type="spellStart"/>
      <w:proofErr w:type="gramStart"/>
      <w:r w:rsidRPr="00E65F15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Pr="00E65F15">
        <w:rPr>
          <w:rFonts w:ascii="Times New Roman" w:hAnsi="Times New Roman" w:cs="Times New Roman"/>
          <w:sz w:val="24"/>
          <w:szCs w:val="24"/>
        </w:rPr>
        <w:t>,d</w:t>
      </w:r>
      <w:proofErr w:type="spellEnd"/>
      <w:r w:rsidRPr="00E6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E7669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V části České Vrbné, kde se nachází všechny uvedené stavby a jednotky je dle § 12 stanoven místní koeficient ve výši 2. Vypočtěte výši daně z nemovitých věcí u níže uvedených staveb a jednotek</w:t>
      </w:r>
    </w:p>
    <w:p w14:paraId="0A817C01" w14:textId="681AB349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a) Rodinný dům č.p. 22 – výměra zastavěné plochy </w:t>
      </w:r>
      <w:r w:rsidR="00D1688A">
        <w:rPr>
          <w:rFonts w:ascii="Times New Roman" w:hAnsi="Times New Roman" w:cs="Times New Roman"/>
          <w:sz w:val="24"/>
          <w:szCs w:val="24"/>
        </w:rPr>
        <w:t>160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Dům je využíván k bydlení, má přízemí a dvě nadzemní podlaží. Výměra zastavěné plochy prvního nadzemního podlaží je 160m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výměra zastavěné plochy druhého nadzemního podlaží je 80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EE62" w14:textId="4FB5DA91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b) Rodinný dům, č.p. 23 – výměra zastavěné plochy </w:t>
      </w:r>
      <w:r w:rsidR="00D1688A">
        <w:rPr>
          <w:rFonts w:ascii="Times New Roman" w:hAnsi="Times New Roman" w:cs="Times New Roman"/>
          <w:sz w:val="24"/>
          <w:szCs w:val="24"/>
        </w:rPr>
        <w:t xml:space="preserve">150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Dle katastru nemovitosti se jedná o dům k bydlení. Tento dům má také jedno podzemní podlaží (zastavěná plocha 120m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) a dvě nadzemní podlaží (zastavěná plocha 150m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8BEC09" w14:textId="5AB5A321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c) Budovu, č.p. 24 – má celkem 2 nadzemní podlaží a přízemí,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1688A">
        <w:rPr>
          <w:rFonts w:ascii="Times New Roman" w:hAnsi="Times New Roman" w:cs="Times New Roman"/>
          <w:sz w:val="24"/>
          <w:szCs w:val="24"/>
        </w:rPr>
        <w:t>290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F0B77">
        <w:rPr>
          <w:rFonts w:ascii="Times New Roman" w:hAnsi="Times New Roman" w:cs="Times New Roman"/>
          <w:sz w:val="24"/>
          <w:szCs w:val="24"/>
        </w:rPr>
        <w:t xml:space="preserve">. Celá tato budova je použita k podnikání – reklamní agentura. </w:t>
      </w:r>
    </w:p>
    <w:p w14:paraId="76EAE537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>d) Garáž bez č.p. – výměra zastavěné plochy 40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je určena pro parkování soukromého vozidla poplatníka</w:t>
      </w:r>
    </w:p>
    <w:p w14:paraId="2C6867EB" w14:textId="1A8E3B56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e) Jednotku (č.25) k bydlení – včetně spoluvlastnického podílu na společných částech domu a na pozemku zastavěné plochy p.č.25. Podlahová plocha činí </w:t>
      </w:r>
      <w:proofErr w:type="gramStart"/>
      <w:r w:rsidR="00D1688A">
        <w:rPr>
          <w:rFonts w:ascii="Times New Roman" w:hAnsi="Times New Roman" w:cs="Times New Roman"/>
          <w:sz w:val="24"/>
          <w:szCs w:val="24"/>
        </w:rPr>
        <w:t>50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F0B77">
        <w:rPr>
          <w:rFonts w:ascii="Times New Roman" w:hAnsi="Times New Roman" w:cs="Times New Roman"/>
          <w:sz w:val="24"/>
          <w:szCs w:val="24"/>
        </w:rPr>
        <w:t>.</w:t>
      </w:r>
    </w:p>
    <w:p w14:paraId="3C675C71" w14:textId="77777777" w:rsidR="000F0B77" w:rsidRDefault="000F0B77" w:rsidP="00E65F15">
      <w:pPr>
        <w:rPr>
          <w:rFonts w:ascii="Times New Roman" w:hAnsi="Times New Roman" w:cs="Times New Roman"/>
          <w:sz w:val="24"/>
          <w:szCs w:val="24"/>
        </w:rPr>
      </w:pPr>
    </w:p>
    <w:sectPr w:rsidR="000F0B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613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41191626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765" w14:textId="345B7A09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                  </w:t>
    </w:r>
    <w:r w:rsidR="002D59D9">
      <w:rPr>
        <w:rFonts w:asciiTheme="majorHAnsi" w:eastAsiaTheme="majorEastAsia" w:hAnsiTheme="majorHAnsi" w:cstheme="majorBidi"/>
      </w:rPr>
      <w:t xml:space="preserve">          </w:t>
    </w:r>
    <w:r w:rsidR="006313E2">
      <w:rPr>
        <w:rFonts w:asciiTheme="majorHAnsi" w:eastAsiaTheme="majorEastAsia" w:hAnsiTheme="majorHAnsi" w:cstheme="majorBidi"/>
      </w:rPr>
      <w:t>6</w:t>
    </w:r>
    <w:r w:rsidR="002D59D9">
      <w:rPr>
        <w:rFonts w:asciiTheme="majorHAnsi" w:eastAsiaTheme="majorEastAsia" w:hAnsiTheme="majorHAnsi" w:cstheme="majorBidi"/>
      </w:rPr>
      <w:t>.</w:t>
    </w:r>
    <w:r w:rsidR="00665C4D">
      <w:rPr>
        <w:rFonts w:asciiTheme="majorHAnsi" w:eastAsiaTheme="majorEastAsia" w:hAnsiTheme="majorHAnsi" w:cstheme="majorBidi"/>
      </w:rPr>
      <w:t>11</w:t>
    </w:r>
    <w:r w:rsidR="002D59D9">
      <w:rPr>
        <w:rFonts w:asciiTheme="majorHAnsi" w:eastAsiaTheme="majorEastAsia" w:hAnsiTheme="majorHAnsi" w:cstheme="majorBidi"/>
      </w:rPr>
      <w:t>.20</w:t>
    </w:r>
    <w:r w:rsidR="00D1688A">
      <w:rPr>
        <w:rFonts w:asciiTheme="majorHAnsi" w:eastAsiaTheme="majorEastAsia" w:hAnsiTheme="majorHAnsi" w:cstheme="majorBidi"/>
      </w:rPr>
      <w:t>2</w:t>
    </w:r>
    <w:r w:rsidR="00594E0D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65C4D" w:rsidRPr="00665C4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31E8192E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B178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08118883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10E"/>
    <w:multiLevelType w:val="hybridMultilevel"/>
    <w:tmpl w:val="BB482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D4C0C"/>
    <w:multiLevelType w:val="hybridMultilevel"/>
    <w:tmpl w:val="40DA4A98"/>
    <w:lvl w:ilvl="0" w:tplc="2B501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8A1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A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E86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AC8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EF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A4E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62F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81F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66E8F"/>
    <w:multiLevelType w:val="hybridMultilevel"/>
    <w:tmpl w:val="65EA32E2"/>
    <w:lvl w:ilvl="0" w:tplc="7DAA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9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6D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8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D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6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9E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11"/>
  </w:num>
  <w:num w:numId="5">
    <w:abstractNumId w:val="0"/>
  </w:num>
  <w:num w:numId="6">
    <w:abstractNumId w:val="30"/>
  </w:num>
  <w:num w:numId="7">
    <w:abstractNumId w:val="27"/>
  </w:num>
  <w:num w:numId="8">
    <w:abstractNumId w:val="24"/>
  </w:num>
  <w:num w:numId="9">
    <w:abstractNumId w:val="21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3"/>
  </w:num>
  <w:num w:numId="15">
    <w:abstractNumId w:val="22"/>
  </w:num>
  <w:num w:numId="16">
    <w:abstractNumId w:val="20"/>
  </w:num>
  <w:num w:numId="17">
    <w:abstractNumId w:val="1"/>
  </w:num>
  <w:num w:numId="18">
    <w:abstractNumId w:val="16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  <w:num w:numId="25">
    <w:abstractNumId w:val="13"/>
  </w:num>
  <w:num w:numId="26">
    <w:abstractNumId w:val="2"/>
  </w:num>
  <w:num w:numId="27">
    <w:abstractNumId w:val="26"/>
  </w:num>
  <w:num w:numId="28">
    <w:abstractNumId w:val="31"/>
  </w:num>
  <w:num w:numId="29">
    <w:abstractNumId w:val="5"/>
  </w:num>
  <w:num w:numId="30">
    <w:abstractNumId w:val="29"/>
  </w:num>
  <w:num w:numId="31">
    <w:abstractNumId w:val="10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F"/>
    <w:rsid w:val="00067576"/>
    <w:rsid w:val="000F0B77"/>
    <w:rsid w:val="00243F10"/>
    <w:rsid w:val="00262FCF"/>
    <w:rsid w:val="002932B2"/>
    <w:rsid w:val="002D59D9"/>
    <w:rsid w:val="003D3543"/>
    <w:rsid w:val="00410D38"/>
    <w:rsid w:val="00570EBF"/>
    <w:rsid w:val="00594E0D"/>
    <w:rsid w:val="006313E2"/>
    <w:rsid w:val="00657EE8"/>
    <w:rsid w:val="00663560"/>
    <w:rsid w:val="00665C4D"/>
    <w:rsid w:val="006D1BA0"/>
    <w:rsid w:val="006E05CA"/>
    <w:rsid w:val="006E1A90"/>
    <w:rsid w:val="0071195B"/>
    <w:rsid w:val="0073096F"/>
    <w:rsid w:val="00751AA1"/>
    <w:rsid w:val="00791151"/>
    <w:rsid w:val="007A0C73"/>
    <w:rsid w:val="007D161E"/>
    <w:rsid w:val="008141E6"/>
    <w:rsid w:val="008A6CD9"/>
    <w:rsid w:val="00922483"/>
    <w:rsid w:val="009A70A3"/>
    <w:rsid w:val="00A07795"/>
    <w:rsid w:val="00A948FC"/>
    <w:rsid w:val="00B50CBA"/>
    <w:rsid w:val="00B5524D"/>
    <w:rsid w:val="00CD29BE"/>
    <w:rsid w:val="00CE6C55"/>
    <w:rsid w:val="00D1688A"/>
    <w:rsid w:val="00D207BD"/>
    <w:rsid w:val="00D5191A"/>
    <w:rsid w:val="00DA67CA"/>
    <w:rsid w:val="00E16BB3"/>
    <w:rsid w:val="00E3081F"/>
    <w:rsid w:val="00E65F15"/>
    <w:rsid w:val="00E7646F"/>
    <w:rsid w:val="00E90674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ED9"/>
  <w15:docId w15:val="{00B351F4-FE37-475C-AB32-D8A832D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4</cp:revision>
  <cp:lastPrinted>2014-04-12T12:01:00Z</cp:lastPrinted>
  <dcterms:created xsi:type="dcterms:W3CDTF">2021-10-23T10:49:00Z</dcterms:created>
  <dcterms:modified xsi:type="dcterms:W3CDTF">2023-06-28T12:48:00Z</dcterms:modified>
</cp:coreProperties>
</file>