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58" w:rsidRDefault="00222E0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Nepeněžité vklady – náhrady nepeněžitých vkladů </w:t>
      </w:r>
      <w:r w:rsidR="00C41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9BB" w:rsidRPr="000B6915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915">
        <w:rPr>
          <w:rFonts w:ascii="Times New Roman" w:hAnsi="Times New Roman" w:cs="Times New Roman"/>
          <w:b/>
          <w:sz w:val="24"/>
          <w:szCs w:val="24"/>
        </w:rPr>
        <w:t>Nepřijetí práva k majetku</w:t>
      </w:r>
    </w:p>
    <w:p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Nepeněžité vklady musí být splaceny </w:t>
      </w:r>
      <w:r w:rsidR="00C419B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419BB">
        <w:rPr>
          <w:rFonts w:ascii="Times New Roman" w:hAnsi="Times New Roman" w:cs="Times New Roman"/>
          <w:sz w:val="24"/>
          <w:szCs w:val="24"/>
        </w:rPr>
        <w:t>…..</w:t>
      </w:r>
      <w:r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9BB">
        <w:rPr>
          <w:rFonts w:ascii="Times New Roman" w:hAnsi="Times New Roman" w:cs="Times New Roman"/>
          <w:sz w:val="24"/>
          <w:szCs w:val="24"/>
        </w:rPr>
        <w:t>výši</w:t>
      </w:r>
      <w:proofErr w:type="gramEnd"/>
      <w:r w:rsidRPr="00C419BB">
        <w:rPr>
          <w:rFonts w:ascii="Times New Roman" w:hAnsi="Times New Roman" w:cs="Times New Roman"/>
          <w:sz w:val="24"/>
          <w:szCs w:val="24"/>
        </w:rPr>
        <w:t xml:space="preserve"> (před zápisem do OR) </w:t>
      </w:r>
    </w:p>
    <w:p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Vlastnické právo k nemovité věci nabývá zápisem </w:t>
      </w:r>
      <w:proofErr w:type="gramStart"/>
      <w:r w:rsidRPr="00C419B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419BB">
        <w:rPr>
          <w:rFonts w:ascii="Times New Roman" w:hAnsi="Times New Roman" w:cs="Times New Roman"/>
          <w:sz w:val="24"/>
          <w:szCs w:val="24"/>
        </w:rPr>
        <w:t xml:space="preserve"> </w:t>
      </w:r>
      <w:r w:rsidR="00C419B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47" w:rsidRPr="00C419BB" w:rsidRDefault="00C419BB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0B6915"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– společník má povinnost zaplatit hodnotu nepeněžitého vkladu v penězích (znalecká hodnota), společnost vrací nepeněžitý vklad zpět společníkovi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C9BDF3" wp14:editId="0488D525">
            <wp:extent cx="4571999" cy="19050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5" b="27500"/>
                    <a:stretch/>
                  </pic:blipFill>
                  <pic:spPr bwMode="auto">
                    <a:xfrm>
                      <a:off x="0" y="0"/>
                      <a:ext cx="4572638" cy="190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vkladatele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D153C4" wp14:editId="2B876284">
            <wp:extent cx="4572000" cy="1857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7" b="29166"/>
                    <a:stretch/>
                  </pic:blipFill>
                  <pic:spPr bwMode="auto">
                    <a:xfrm>
                      <a:off x="0" y="0"/>
                      <a:ext cx="4572638" cy="185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Default="00222E0B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C06E5" wp14:editId="62814ACB">
                <wp:simplePos x="0" y="0"/>
                <wp:positionH relativeFrom="column">
                  <wp:posOffset>-38100</wp:posOffset>
                </wp:positionH>
                <wp:positionV relativeFrom="paragraph">
                  <wp:posOffset>-40640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pt;margin-top:-3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DPG37J3wAAAAgBAAAPAAAAZHJzL2Rvd25y&#10;ZXYueG1sTI/BTsMwDIbvSLxDZCQuaEs3RsdK0wkhcUDaYYw+QNqYtixxqibrytvjndjJsn7r8/fn&#10;28lZMeIQOk8KFvMEBFLtTUeNgvLrffYMIkRNRltPqOAXA2yL25tcZ8af6RPHQ2wEQyhkWkEbY59J&#10;GeoWnQ5z3yNx9u0HpyOvQyPNoM8Md1YukySVTnfEH1rd41uL9fFwcgoeN25t9+ufJ3o4jvuy/NjZ&#10;UO2Uur+bXl9ARJzi/zFc9FkdCnaq/IlMEFbBLOUq8TJXIDjfJKsliIrhixRkkcvrAsUf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M8bfsn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222E0B">
        <w:rPr>
          <w:rFonts w:ascii="Times New Roman" w:eastAsia="Calibri" w:hAnsi="Times New Roman" w:cs="Times New Roman"/>
          <w:b/>
          <w:sz w:val="24"/>
        </w:rPr>
        <w:t xml:space="preserve">Příklad 1 – Nepřijetí práva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4"/>
        </w:rPr>
      </w:pPr>
    </w:p>
    <w:p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Základní kapitál </w:t>
      </w:r>
      <w:proofErr w:type="spellStart"/>
      <w:r w:rsidRPr="00222E0B">
        <w:rPr>
          <w:rFonts w:ascii="Times New Roman" w:eastAsia="Calibri" w:hAnsi="Times New Roman" w:cs="Times New Roman"/>
          <w:sz w:val="24"/>
        </w:rPr>
        <w:t>Frozen</w:t>
      </w:r>
      <w:proofErr w:type="spellEnd"/>
      <w:r>
        <w:rPr>
          <w:rFonts w:ascii="Times New Roman" w:eastAsia="Calibri" w:hAnsi="Times New Roman" w:cs="Times New Roman"/>
          <w:sz w:val="24"/>
        </w:rPr>
        <w:t>, s.r.o.</w:t>
      </w:r>
      <w:r w:rsidRPr="00222E0B">
        <w:rPr>
          <w:rFonts w:ascii="Times New Roman" w:eastAsia="Calibri" w:hAnsi="Times New Roman" w:cs="Times New Roman"/>
          <w:sz w:val="24"/>
        </w:rPr>
        <w:t xml:space="preserve"> je 4 000 000 Kč - peněžité vklady 2 000 000 Kč, nepeněžitý vklad – budova 2 000 000 Kč (znalecké ocenění). </w:t>
      </w:r>
      <w:r>
        <w:rPr>
          <w:rFonts w:ascii="Times New Roman" w:eastAsia="Calibri" w:hAnsi="Times New Roman" w:cs="Times New Roman"/>
          <w:sz w:val="24"/>
        </w:rPr>
        <w:t>S.r.o.</w:t>
      </w:r>
      <w:r w:rsidR="0018491C">
        <w:rPr>
          <w:rFonts w:ascii="Times New Roman" w:eastAsia="Calibri" w:hAnsi="Times New Roman" w:cs="Times New Roman"/>
          <w:sz w:val="24"/>
        </w:rPr>
        <w:t xml:space="preserve"> byla založena 1. 1. 2022, vznikla </w:t>
      </w:r>
      <w:proofErr w:type="gramStart"/>
      <w:r w:rsidR="0018491C">
        <w:rPr>
          <w:rFonts w:ascii="Times New Roman" w:eastAsia="Calibri" w:hAnsi="Times New Roman" w:cs="Times New Roman"/>
          <w:sz w:val="24"/>
        </w:rPr>
        <w:t>1.3.2022</w:t>
      </w:r>
      <w:proofErr w:type="gramEnd"/>
      <w:r w:rsidRPr="00222E0B">
        <w:rPr>
          <w:rFonts w:ascii="Times New Roman" w:eastAsia="Calibri" w:hAnsi="Times New Roman" w:cs="Times New Roman"/>
          <w:sz w:val="24"/>
        </w:rPr>
        <w:t>. Peněžité vklady byly splaceny do okamžiku podání návrhu na zápis do OR ve výši 80 %.</w:t>
      </w:r>
    </w:p>
    <w:p w:rsidR="00222E0B" w:rsidRPr="00222E0B" w:rsidRDefault="0018491C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Budova nebyla 10. 3. 2022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zapsána do katastru nemovitostí. </w:t>
      </w:r>
      <w:proofErr w:type="gramStart"/>
      <w:r w:rsidR="00222E0B" w:rsidRPr="00222E0B">
        <w:rPr>
          <w:rFonts w:ascii="Times New Roman" w:eastAsia="Calibri" w:hAnsi="Times New Roman" w:cs="Times New Roman"/>
          <w:sz w:val="24"/>
        </w:rPr>
        <w:t>Společník</w:t>
      </w:r>
      <w:proofErr w:type="gramEnd"/>
      <w:r w:rsidR="00222E0B" w:rsidRPr="00222E0B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jež </w:t>
      </w:r>
      <w:proofErr w:type="gramStart"/>
      <w:r>
        <w:rPr>
          <w:rFonts w:ascii="Times New Roman" w:eastAsia="Calibri" w:hAnsi="Times New Roman" w:cs="Times New Roman"/>
          <w:sz w:val="24"/>
        </w:rPr>
        <w:t>budovu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vložil má do 1.5.2022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zaplatit hodnotu budovy v penězích. Zaúčtujte z pohledu </w:t>
      </w:r>
      <w:r w:rsidR="00222E0B">
        <w:rPr>
          <w:rFonts w:ascii="Times New Roman" w:eastAsia="Calibri" w:hAnsi="Times New Roman" w:cs="Times New Roman"/>
          <w:sz w:val="24"/>
        </w:rPr>
        <w:t>s.r.o.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a z pohledu společníka. </w:t>
      </w:r>
    </w:p>
    <w:p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Společník měl budovu v účetnictví v pořizovací ceně 2 200 000 Kč, oprávky k budově byly 300 000 Kč.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Účtování u </w:t>
      </w:r>
      <w:r>
        <w:rPr>
          <w:rFonts w:ascii="Times New Roman" w:eastAsia="Calibri" w:hAnsi="Times New Roman" w:cs="Times New Roman"/>
          <w:sz w:val="24"/>
        </w:rPr>
        <w:t>s. r. o.</w:t>
      </w:r>
      <w:r w:rsidRPr="00222E0B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v důsledku nepřijetí práva a vznik pohledávky vůči společníkovi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pohledávky spojené s nepřijetím práva ke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>Účtování u vkladatele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z důvodu vkladu </w:t>
            </w:r>
          </w:p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a)</w:t>
            </w:r>
          </w:p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b)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podíl na a.s. (výpis z OR)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zúčtování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ID – vrácení stavby – v důsledku nepřijetí práva</w:t>
            </w: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navýšení podílu a závazku z důvodu odlišné hodnoty stavby a znaleckého ocenění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F5730" w:rsidRDefault="00AF5730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Od jakého data vede společnost účetnictví?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Do kdy musí být uhrazeny zbývající peněžité vklady?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C419BB" w:rsidRPr="00C419BB" w:rsidRDefault="00C419BB" w:rsidP="00C419BB">
      <w:pPr>
        <w:rPr>
          <w:rFonts w:ascii="Times New Roman" w:hAnsi="Times New Roman" w:cs="Times New Roman"/>
          <w:b/>
          <w:sz w:val="24"/>
        </w:rPr>
      </w:pPr>
      <w:r w:rsidRPr="00C419BB">
        <w:rPr>
          <w:rFonts w:ascii="Times New Roman" w:hAnsi="Times New Roman" w:cs="Times New Roman"/>
          <w:b/>
          <w:sz w:val="24"/>
        </w:rPr>
        <w:lastRenderedPageBreak/>
        <w:t xml:space="preserve">Náhrada nedobytné pohledávky </w:t>
      </w:r>
    </w:p>
    <w:p w:rsidR="000B4047" w:rsidRPr="00C419BB" w:rsidRDefault="000B6915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Obdobný postup účtování jako v případě nepřijetí práva k nemovité věci </w:t>
      </w:r>
    </w:p>
    <w:p w:rsidR="000B4047" w:rsidRDefault="00C419BB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 – za vloženou pohledávku – do výše hodnoty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4E49307" wp14:editId="3FE930C2">
            <wp:extent cx="4572000" cy="1847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666" b="29445"/>
                    <a:stretch/>
                  </pic:blipFill>
                  <pic:spPr bwMode="auto">
                    <a:xfrm>
                      <a:off x="0" y="0"/>
                      <a:ext cx="4572638" cy="184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P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vkladatele </w:t>
      </w: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9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7F31932F" wp14:editId="2BE87B32">
            <wp:extent cx="4571999" cy="141922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945" b="41666"/>
                    <a:stretch/>
                  </pic:blipFill>
                  <pic:spPr bwMode="auto">
                    <a:xfrm>
                      <a:off x="0" y="0"/>
                      <a:ext cx="4572638" cy="14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35" w:rsidRPr="00A77F35" w:rsidRDefault="00A77F35" w:rsidP="00A77F35">
      <w:pPr>
        <w:rPr>
          <w:rFonts w:ascii="Verdana" w:hAnsi="Verdana"/>
          <w:b/>
          <w:color w:val="C00000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809F3" wp14:editId="73C27D20">
                <wp:simplePos x="0" y="0"/>
                <wp:positionH relativeFrom="column">
                  <wp:posOffset>-47625</wp:posOffset>
                </wp:positionH>
                <wp:positionV relativeFrom="paragraph">
                  <wp:posOffset>-41910</wp:posOffset>
                </wp:positionV>
                <wp:extent cx="5779770" cy="241300"/>
                <wp:effectExtent l="0" t="0" r="11430" b="2540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-3.75pt;margin-top:-3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AX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F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C5PTVn3wAAAAgBAAAPAAAAZHJzL2Rvd25y&#10;ZXYueG1sTI/BTsMwDIbvSLxDZCQuaEs3WMtK0wkhcUDaYYw+QNqYtixxqibryttjTnCyrP/X58/F&#10;bnZWTDiG3pOC1TIBgdR401OroPp4XTyCCFGT0dYTKvjGALvy+qrQufEXesfpGFvBEAq5VtDFOORS&#10;hqZDp8PSD0icffrR6cjr2Eoz6gvDnZXrJEml0z3xhU4P+NJhczqenYL7rcvsIfva0N1pOlTV296G&#10;eq/U7c38/AQi4hz/yvCrz+pQslPtz2SCsAoW2YabPNMUBOfbZJ2BqBm+egBZFvL/A+UPAAAA//8D&#10;AFBLAQItABQABgAIAAAAIQC2gziS/gAAAOEBAAATAAAAAAAAAAAAAAAAAAAAAABbQ29udGVudF9U&#10;eXBlc10ueG1sUEsBAi0AFAAGAAgAAAAhADj9If/WAAAAlAEAAAsAAAAAAAAAAAAAAAAALwEAAF9y&#10;ZWxzLy5yZWxzUEsBAi0AFAAGAAgAAAAhAK2TwBfXAgAAqwUAAA4AAAAAAAAAAAAAAAAALgIAAGRy&#10;cy9lMm9Eb2MueG1sUEsBAi0AFAAGAAgAAAAhALk9NWf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A77F35">
        <w:rPr>
          <w:rFonts w:ascii="Times New Roman" w:eastAsia="Calibri" w:hAnsi="Times New Roman" w:cs="Times New Roman"/>
          <w:b/>
          <w:sz w:val="24"/>
        </w:rPr>
        <w:t>Příklad 2 – Náhrady v </w:t>
      </w:r>
      <w:proofErr w:type="gramStart"/>
      <w:r w:rsidRPr="00A77F35">
        <w:rPr>
          <w:rFonts w:ascii="Times New Roman" w:eastAsia="Calibri" w:hAnsi="Times New Roman" w:cs="Times New Roman"/>
          <w:b/>
          <w:sz w:val="24"/>
        </w:rPr>
        <w:t>souvislosti s vkladem</w:t>
      </w:r>
      <w:proofErr w:type="gramEnd"/>
      <w:r w:rsidRPr="00A77F35">
        <w:rPr>
          <w:rFonts w:ascii="Times New Roman" w:eastAsia="Calibri" w:hAnsi="Times New Roman" w:cs="Times New Roman"/>
          <w:b/>
          <w:sz w:val="24"/>
        </w:rPr>
        <w:t xml:space="preserve"> pohledávek </w:t>
      </w: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6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Základní kapitál s.r.o. je 900 000 Kč. Je tvořen vklady 3 společníků 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A vložil peníze na bankovní účet – 300 000 Kč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B vložil budovu (nemovitost) - znalecké ocenění 300 000 Kč</w:t>
      </w:r>
    </w:p>
    <w:p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(</w:t>
      </w:r>
      <w:r w:rsidRPr="00A77F35">
        <w:rPr>
          <w:rFonts w:ascii="Times New Roman" w:eastAsia="Calibri" w:hAnsi="Times New Roman" w:cs="Times New Roman"/>
          <w:i/>
          <w:sz w:val="24"/>
        </w:rPr>
        <w:t xml:space="preserve">v účetnictví společníka B: PC = 400 000 Kč, ZC = 350 000) 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Společník C vložil pohledávku - znalecké ocenění 300 000 Kč </w:t>
      </w:r>
    </w:p>
    <w:p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i/>
          <w:sz w:val="24"/>
        </w:rPr>
        <w:t xml:space="preserve">(v účetnictví společníka C: jmenovitá hodnota 320 000 Kč, opravná položka 10 000 Kč – pohledávka je po splatnosti, z tohoto důvodu je její hodnota navýšena o 1 000 Kč o úrok z prodlení)) </w:t>
      </w: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Zaúčtujte z pohledu s.r.o. a společníka C. Předpokládejte, že všechny upsané peněžité vklady byly ihned zaplaceny. </w:t>
      </w: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lastRenderedPageBreak/>
        <w:t xml:space="preserve">Účtování u obchodní společnosti (ke dni vzniku s.r.o.)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budova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pohledávka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zrušení opravné položky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vklad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podíl na s. r. o. (po zápisu do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proúčtování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Jelikož je pohledávka, kterou vložil společník </w:t>
      </w:r>
      <w:r w:rsidRPr="00A77F35">
        <w:rPr>
          <w:rFonts w:ascii="Times New Roman" w:eastAsia="Calibri" w:hAnsi="Times New Roman" w:cs="Times New Roman"/>
          <w:b/>
          <w:sz w:val="24"/>
        </w:rPr>
        <w:t>C</w:t>
      </w:r>
      <w:r w:rsidRPr="00A77F35">
        <w:rPr>
          <w:rFonts w:ascii="Times New Roman" w:eastAsia="Calibri" w:hAnsi="Times New Roman" w:cs="Times New Roman"/>
          <w:sz w:val="24"/>
        </w:rPr>
        <w:t xml:space="preserve"> do s.r.o. nedobytná, vrátila s.r.o. pohledávku zpět společníkovi C. Společník C je povinen poskytnout peněžitou náhradu nedobytné pohledávky ve výši znaleckého ocenění pohledávky při vkladu. Zachyťte účtování z pohledu </w:t>
      </w:r>
      <w:r w:rsidRPr="00A77F35">
        <w:rPr>
          <w:rFonts w:ascii="Times New Roman" w:eastAsia="Calibri" w:hAnsi="Times New Roman" w:cs="Times New Roman"/>
          <w:b/>
          <w:sz w:val="24"/>
        </w:rPr>
        <w:t>společníka C</w:t>
      </w:r>
      <w:r w:rsidRPr="00A77F35">
        <w:rPr>
          <w:rFonts w:ascii="Times New Roman" w:eastAsia="Calibri" w:hAnsi="Times New Roman" w:cs="Times New Roman"/>
          <w:sz w:val="24"/>
        </w:rPr>
        <w:t xml:space="preserve"> i z pohledu </w:t>
      </w:r>
      <w:r w:rsidRPr="00A77F35">
        <w:rPr>
          <w:rFonts w:ascii="Times New Roman" w:eastAsia="Calibri" w:hAnsi="Times New Roman" w:cs="Times New Roman"/>
          <w:b/>
          <w:sz w:val="24"/>
        </w:rPr>
        <w:t>s.r.o.</w:t>
      </w:r>
      <w:r w:rsidRPr="00A77F35">
        <w:rPr>
          <w:rFonts w:ascii="Times New Roman" w:eastAsia="Calibri" w:hAnsi="Times New Roman" w:cs="Times New Roman"/>
          <w:sz w:val="24"/>
        </w:rPr>
        <w:t xml:space="preserve">. </w:t>
      </w: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Účtování u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ID – postoupení pohledávky společníkovi C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náhrada pohledávky v penězích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vrácení pohledávky 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Jmenovitá hodnota pohledávky + úrok 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Závazek z titulu náhrady nedobytné pohledávky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Změna výše podílu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úhrada závazku z titulu náhrady nedobytné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454C3D" w:rsidRDefault="00454C3D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454C3D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Zvýšení základního kapitálu (v kapitálových společnostech) </w:t>
      </w:r>
    </w:p>
    <w:p w:rsidR="00EE3B49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4F6F99" w:rsidRPr="00EE3B49" w:rsidRDefault="004F6F99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Rozhoduje </w:t>
      </w:r>
      <w:r w:rsidR="00A77F35">
        <w:rPr>
          <w:rFonts w:ascii="Times New Roman" w:hAnsi="Times New Roman" w:cs="Times New Roman"/>
          <w:sz w:val="24"/>
        </w:rPr>
        <w:t>…………………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Pr="00EE3B49">
        <w:rPr>
          <w:rFonts w:ascii="Times New Roman" w:hAnsi="Times New Roman" w:cs="Times New Roman"/>
          <w:sz w:val="24"/>
        </w:rPr>
        <w:t xml:space="preserve"> (návrh</w:t>
      </w:r>
      <w:proofErr w:type="gramEnd"/>
      <w:r w:rsidRPr="00EE3B49">
        <w:rPr>
          <w:rFonts w:ascii="Times New Roman" w:hAnsi="Times New Roman" w:cs="Times New Roman"/>
          <w:sz w:val="24"/>
        </w:rPr>
        <w:t xml:space="preserve"> představenstva)</w:t>
      </w:r>
    </w:p>
    <w:p w:rsidR="004F6F99" w:rsidRDefault="00A77F35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……………………</w:t>
      </w:r>
      <w:proofErr w:type="gramStart"/>
      <w:r>
        <w:rPr>
          <w:rFonts w:ascii="Times New Roman" w:hAnsi="Times New Roman" w:cs="Times New Roman"/>
          <w:sz w:val="24"/>
        </w:rPr>
        <w:t xml:space="preserve">….. </w:t>
      </w:r>
      <w:r w:rsidR="00D26308">
        <w:rPr>
          <w:rFonts w:ascii="Times New Roman" w:hAnsi="Times New Roman" w:cs="Times New Roman"/>
          <w:sz w:val="24"/>
        </w:rPr>
        <w:t>ZK</w:t>
      </w:r>
      <w:proofErr w:type="gramEnd"/>
      <w:r w:rsidR="00D26308">
        <w:rPr>
          <w:rFonts w:ascii="Times New Roman" w:hAnsi="Times New Roman" w:cs="Times New Roman"/>
          <w:sz w:val="24"/>
        </w:rPr>
        <w:t xml:space="preserve"> do OR </w:t>
      </w:r>
      <w:r w:rsidR="004F6F99" w:rsidRPr="00EE3B49">
        <w:rPr>
          <w:rFonts w:ascii="Times New Roman" w:hAnsi="Times New Roman" w:cs="Times New Roman"/>
          <w:sz w:val="24"/>
        </w:rPr>
        <w:t>(nezbytný předpoklad pro vykázání ZK v účetnictví, tj</w:t>
      </w:r>
      <w:r w:rsidR="004F6F99" w:rsidRPr="00EE3B49">
        <w:rPr>
          <w:rFonts w:ascii="Times New Roman" w:hAnsi="Times New Roman" w:cs="Times New Roman"/>
          <w:b/>
          <w:bCs/>
          <w:sz w:val="24"/>
        </w:rPr>
        <w:t>. ZK v rozvaze musí se = zápisu ZK v OR</w:t>
      </w:r>
      <w:r w:rsidR="004F6F99" w:rsidRPr="00EE3B49">
        <w:rPr>
          <w:rFonts w:ascii="Times New Roman" w:hAnsi="Times New Roman" w:cs="Times New Roman"/>
          <w:sz w:val="24"/>
        </w:rPr>
        <w:t>)</w:t>
      </w:r>
    </w:p>
    <w:p w:rsidR="00EE3B49" w:rsidRPr="00EE3B49" w:rsidRDefault="00EE3B49" w:rsidP="00EE3B49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>Způsoby zvýšení</w:t>
      </w:r>
    </w:p>
    <w:p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upsáním </w:t>
      </w:r>
      <w:r w:rsidR="00A77F35">
        <w:rPr>
          <w:rFonts w:ascii="Times New Roman" w:hAnsi="Times New Roman" w:cs="Times New Roman"/>
          <w:sz w:val="24"/>
        </w:rPr>
        <w:t>…………………</w:t>
      </w:r>
    </w:p>
    <w:p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převzetím vkladové povinností ke zvýšení dosavadních vkladů nebo k novému vkladu v s r. o. </w:t>
      </w:r>
    </w:p>
    <w:p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4F6F99" w:rsidRDefault="004F6F99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Podmíněné zvýšení (a.s.)</w:t>
      </w: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E3B49">
        <w:rPr>
          <w:rFonts w:ascii="Times New Roman" w:hAnsi="Times New Roman" w:cs="Times New Roman"/>
          <w:sz w:val="24"/>
          <w:u w:val="single"/>
        </w:rPr>
        <w:t>I. Zvýšení základního kapitálu upsáním nových vkladů (nových akcií)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Zákon o obchodních korporacích § 474 – 494 (a.s.), § 216 – 226 (s.r.o.) ZOK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Podmínkou je splacení </w:t>
      </w:r>
      <w:r w:rsidR="00A77F35">
        <w:rPr>
          <w:rFonts w:ascii="Times New Roman" w:hAnsi="Times New Roman" w:cs="Times New Roman"/>
          <w:sz w:val="24"/>
        </w:rPr>
        <w:t>………………………….</w:t>
      </w:r>
      <w:r w:rsidRPr="00EE3B49">
        <w:rPr>
          <w:rFonts w:ascii="Times New Roman" w:hAnsi="Times New Roman" w:cs="Times New Roman"/>
          <w:sz w:val="24"/>
        </w:rPr>
        <w:t xml:space="preserve"> (neplatí v případě úpisu nepeněžitých vkladů)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Návrh na zápis do OR – splacení nepeněžitých vkladů a alespoň 30 % jmenovité hodnoty peněžitých vkladů </w:t>
      </w: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EE3B49">
        <w:rPr>
          <w:rFonts w:ascii="Times New Roman" w:hAnsi="Times New Roman" w:cs="Times New Roman"/>
          <w:sz w:val="24"/>
        </w:rPr>
        <w:t xml:space="preserve">Do okamžiku zápisu zvýšení ZK do obchodního rejstříku: </w:t>
      </w:r>
    </w:p>
    <w:p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Peněžité vklady </w:t>
      </w:r>
      <w:r w:rsidRPr="00EE3B49">
        <w:rPr>
          <w:rFonts w:ascii="Times New Roman" w:hAnsi="Times New Roman" w:cs="Times New Roman"/>
          <w:sz w:val="24"/>
        </w:rPr>
        <w:t>– 30 % upsané hodnoty vkladu, prioritně se uhradí ážio (v plné výši)</w:t>
      </w:r>
    </w:p>
    <w:p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Nepeněžité vklady </w:t>
      </w:r>
      <w:r w:rsidRPr="00EE3B49">
        <w:rPr>
          <w:rFonts w:ascii="Times New Roman" w:hAnsi="Times New Roman" w:cs="Times New Roman"/>
          <w:sz w:val="24"/>
        </w:rPr>
        <w:t>– úhrada v plné výši, vnesení všech nepeněžitých vkladů</w:t>
      </w:r>
    </w:p>
    <w:p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</w:p>
    <w:p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obchodní společnosti</w:t>
      </w:r>
    </w:p>
    <w:p w:rsidR="00EE3B49" w:rsidRPr="00EE3B49" w:rsidRDefault="00A77F35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EE3B49" w:rsidRPr="00EE3B49">
        <w:rPr>
          <w:rFonts w:ascii="Times New Roman" w:hAnsi="Times New Roman" w:cs="Times New Roman"/>
          <w:sz w:val="24"/>
        </w:rPr>
        <w:t xml:space="preserve"> –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nabytí aktiva </w:t>
      </w:r>
      <w:r w:rsidR="00EE3B49" w:rsidRPr="00EE3B49">
        <w:rPr>
          <w:rFonts w:ascii="Times New Roman" w:hAnsi="Times New Roman" w:cs="Times New Roman"/>
          <w:sz w:val="24"/>
        </w:rPr>
        <w:t xml:space="preserve">(peníze, věci)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a vznik závazku </w:t>
      </w:r>
      <w:r w:rsidR="00EE3B49" w:rsidRPr="00EE3B49">
        <w:rPr>
          <w:rFonts w:ascii="Times New Roman" w:hAnsi="Times New Roman" w:cs="Times New Roman"/>
          <w:sz w:val="24"/>
        </w:rPr>
        <w:t>vůči upisovateli (</w:t>
      </w:r>
      <w:r w:rsidR="00EE3B49" w:rsidRPr="00EE3B49">
        <w:rPr>
          <w:rFonts w:ascii="Times New Roman" w:hAnsi="Times New Roman" w:cs="Times New Roman"/>
          <w:b/>
          <w:bCs/>
          <w:sz w:val="24"/>
        </w:rPr>
        <w:t>379</w:t>
      </w:r>
      <w:r w:rsidR="00EE3B49" w:rsidRPr="00EE3B49">
        <w:rPr>
          <w:rFonts w:ascii="Times New Roman" w:hAnsi="Times New Roman" w:cs="Times New Roman"/>
          <w:sz w:val="24"/>
        </w:rPr>
        <w:t xml:space="preserve">) </w:t>
      </w: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b) </w:t>
      </w:r>
      <w:r w:rsidR="00A77F35">
        <w:rPr>
          <w:rFonts w:ascii="Times New Roman" w:hAnsi="Times New Roman" w:cs="Times New Roman"/>
          <w:sz w:val="24"/>
        </w:rPr>
        <w:t>…………………</w:t>
      </w:r>
      <w:r w:rsidRPr="00EE3B49">
        <w:rPr>
          <w:rFonts w:ascii="Times New Roman" w:hAnsi="Times New Roman" w:cs="Times New Roman"/>
          <w:sz w:val="24"/>
        </w:rPr>
        <w:t xml:space="preserve"> (do data zápisu zvýšení ZK do OR) -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vznik pohledávky </w:t>
      </w:r>
      <w:r w:rsidRPr="00EE3B49">
        <w:rPr>
          <w:rFonts w:ascii="Times New Roman" w:hAnsi="Times New Roman" w:cs="Times New Roman"/>
          <w:sz w:val="24"/>
        </w:rPr>
        <w:t>vůči upisovateli (</w:t>
      </w:r>
      <w:r w:rsidRPr="00EE3B49">
        <w:rPr>
          <w:rFonts w:ascii="Times New Roman" w:hAnsi="Times New Roman" w:cs="Times New Roman"/>
          <w:b/>
          <w:bCs/>
          <w:sz w:val="24"/>
        </w:rPr>
        <w:t>353</w:t>
      </w:r>
      <w:r w:rsidRPr="00EE3B49">
        <w:rPr>
          <w:rFonts w:ascii="Times New Roman" w:hAnsi="Times New Roman" w:cs="Times New Roman"/>
          <w:sz w:val="24"/>
        </w:rPr>
        <w:t xml:space="preserve">)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 souvislosti se zvýšením ZK (419, příp. i 412); zápočet </w:t>
      </w:r>
      <w:r w:rsidRPr="00EE3B49">
        <w:rPr>
          <w:rFonts w:ascii="Times New Roman" w:hAnsi="Times New Roman" w:cs="Times New Roman"/>
          <w:sz w:val="24"/>
        </w:rPr>
        <w:t xml:space="preserve">závazku (z ad a)) a pohledávky (z </w:t>
      </w:r>
      <w:proofErr w:type="gramStart"/>
      <w:r w:rsidRPr="00EE3B49">
        <w:rPr>
          <w:rFonts w:ascii="Times New Roman" w:hAnsi="Times New Roman" w:cs="Times New Roman"/>
          <w:sz w:val="24"/>
        </w:rPr>
        <w:t>ad</w:t>
      </w:r>
      <w:proofErr w:type="gramEnd"/>
      <w:r w:rsidRPr="00EE3B49">
        <w:rPr>
          <w:rFonts w:ascii="Times New Roman" w:hAnsi="Times New Roman" w:cs="Times New Roman"/>
          <w:sz w:val="24"/>
        </w:rPr>
        <w:t xml:space="preserve"> b))</w:t>
      </w:r>
    </w:p>
    <w:p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c) </w:t>
      </w:r>
      <w:r w:rsidR="00A77F35">
        <w:rPr>
          <w:rFonts w:ascii="Times New Roman" w:hAnsi="Times New Roman" w:cs="Times New Roman"/>
          <w:sz w:val="24"/>
        </w:rPr>
        <w:t>…………………………….</w:t>
      </w:r>
      <w:r w:rsidRPr="00EE3B49">
        <w:rPr>
          <w:rFonts w:ascii="Times New Roman" w:hAnsi="Times New Roman" w:cs="Times New Roman"/>
          <w:sz w:val="24"/>
        </w:rPr>
        <w:t xml:space="preserve"> ZK do OR –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převod </w:t>
      </w:r>
      <w:r w:rsidRPr="00EE3B49">
        <w:rPr>
          <w:rFonts w:ascii="Times New Roman" w:hAnsi="Times New Roman" w:cs="Times New Roman"/>
          <w:sz w:val="24"/>
        </w:rPr>
        <w:t>mezi ZK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 </w:t>
      </w:r>
      <w:r w:rsidRPr="00EE3B49">
        <w:rPr>
          <w:rFonts w:ascii="Times New Roman" w:hAnsi="Times New Roman" w:cs="Times New Roman"/>
          <w:sz w:val="24"/>
        </w:rPr>
        <w:t>(</w:t>
      </w:r>
      <w:r w:rsidRPr="00EE3B49">
        <w:rPr>
          <w:rFonts w:ascii="Times New Roman" w:hAnsi="Times New Roman" w:cs="Times New Roman"/>
          <w:b/>
          <w:bCs/>
          <w:sz w:val="24"/>
        </w:rPr>
        <w:t>411</w:t>
      </w:r>
      <w:r w:rsidRPr="00EE3B49">
        <w:rPr>
          <w:rFonts w:ascii="Times New Roman" w:hAnsi="Times New Roman" w:cs="Times New Roman"/>
          <w:sz w:val="24"/>
        </w:rPr>
        <w:t>) a změnami ZK (</w:t>
      </w:r>
      <w:r w:rsidRPr="00EE3B49">
        <w:rPr>
          <w:rFonts w:ascii="Times New Roman" w:hAnsi="Times New Roman" w:cs="Times New Roman"/>
          <w:b/>
          <w:bCs/>
          <w:sz w:val="24"/>
        </w:rPr>
        <w:t>419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2C9B1CC" wp14:editId="7EB6B054">
            <wp:extent cx="4572000" cy="21240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666" b="21389"/>
                    <a:stretch/>
                  </pic:blipFill>
                  <pic:spPr bwMode="auto">
                    <a:xfrm>
                      <a:off x="0" y="0"/>
                      <a:ext cx="4572638" cy="212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840DD" wp14:editId="335D3AF9">
                <wp:simplePos x="0" y="0"/>
                <wp:positionH relativeFrom="margin">
                  <wp:posOffset>-30480</wp:posOffset>
                </wp:positionH>
                <wp:positionV relativeFrom="paragraph">
                  <wp:posOffset>-29210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2.4pt;margin-top:-2.3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ki1wIAAKsFAAAOAAAAZHJzL2Uyb0RvYy54bWysVNuO0zAQfUfiHyy/d3Np2rTRpqtutkVI&#10;wK60IJ7d2Emsdexgu00XxAfxwFfsjzF22lJYCSFEIlkeX45nzpyZy6t9K9COacOVzHF0EWLEZKko&#10;l3WOP7xfj2YYGUskJUJJluNHZvDV4uWLy77LWKwaJSjTCECkyfoux421XRYEpmxYS8yF6piEzUrp&#10;llgwdR1QTXpAb0UQh+E06JWmnVYlMwZWb4ZNvPD4VcVKe1tVhlkkcgy+WT9qP27cGCwuSVZr0jW8&#10;PLhB/sGLlnAJj56gboglaKv5M6iWl1oZVdmLUrWBqipeMh8DRBOFv0Vz35CO+ViAHNOdaDL/D7Z8&#10;t7vTiNMcx3OMJGkhR7cb+vRNyKfvDwgWgaG+MxkcvO/utIvRdG9U+WCQVEVDZM2WWqu+YYSCX5E7&#10;H/xywRkGrqJN/1ZRwCdbqzxZ+0q3DhBoQHufk8dTTtjeohIWJ2k6T1NIXQl7cRKNQ5+0gGTH2502&#10;9hVTLXKTHGvIuUcnuzfGOm9IdjzivVeC0zUXwhu63hRCox0Bfaz9N9wVXUOG1eNzZjjq8cw5hpCo&#10;h8DjFDz78wNFOAmTG88QsHiO0XILZSB4m+NZ6L5BmI7UlaRepJZwMcwhICHdS8wLfIgSrL2FqV8H&#10;7rz4vizXkzBNxrNRmk7Go2S8CkfXs3UxWhbRdJqurovrVfTVeR0lWcMpZXLlMc2xFqLk77R2qMpB&#10;xadqODnovFJbiPG+oT2i3CVqPJnHEQYDytGR56JGRNTQR0qrMdLKfuS28UXgZOEwDkkYMjObuv9A&#10;5wndJ+js4eBZbMOJPVAFTB5Z85p1Mh3kvlH0ESQLPnhdQoeDSaP0Z4x66BY5Np+2RDOMxGsJsp9H&#10;SeLaizeSSRqDoc93Nuc7RJYAlWML8fppYYeWtO00rxt4KfLRSrWEUqm4V7Ero8Er8NsZ0BF8BIfu&#10;5VrOue1P/eyxix8AAAD//wMAUEsDBBQABgAIAAAAIQD034T33gAAAAgBAAAPAAAAZHJzL2Rvd25y&#10;ZXYueG1sTI/BTsMwDIbvSLxDZCQuaEth3cZK0wkhcUDaYYw+QNqYtixxqibrytvjndjJsv5fnz/n&#10;28lZMeIQOk8KHucJCKTam44aBeXX++wZRIiajLaeUMEvBtgWtze5zow/0yeOh9gIhlDItII2xj6T&#10;MtQtOh3mvkfi7NsPTkdeh0aaQZ8Z7qx8SpKVdLojvtDqHt9arI+Hk1Ow2Li13a9/lvRwHPdl+bGz&#10;odopdX83vb6AiDjF/zJc9FkdCnaq/IlMEFbBLGXzeJkrEJxvkmUKomL4IgVZ5PL6geIPAAD//wMA&#10;UEsBAi0AFAAGAAgAAAAhALaDOJL+AAAA4QEAABMAAAAAAAAAAAAAAAAAAAAAAFtDb250ZW50X1R5&#10;cGVzXS54bWxQSwECLQAUAAYACAAAACEAOP0h/9YAAACUAQAACwAAAAAAAAAAAAAAAAAvAQAAX3Jl&#10;bHMvLnJlbHNQSwECLQAUAAYACAAAACEAKrApItcCAACrBQAADgAAAAAAAAAAAAAAAAAuAgAAZHJz&#10;L2Uyb0RvYy54bWxQSwECLQAUAAYACAAAACEA9N+E994AAAAIAQAADwAAAAAAAAAAAAAAAAAx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E3B49">
        <w:rPr>
          <w:rFonts w:ascii="Times New Roman" w:eastAsia="Calibri" w:hAnsi="Times New Roman" w:cs="Times New Roman"/>
          <w:b/>
          <w:sz w:val="24"/>
        </w:rPr>
        <w:t xml:space="preserve">Příklad 1 – Zvýšení ZK upsáním nových vkladů   </w:t>
      </w:r>
    </w:p>
    <w:p w:rsidR="00EE3B49" w:rsidRPr="00EE3B49" w:rsidRDefault="00EE3B49" w:rsidP="00EE3B4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1 000 000 Kč. Základní kapitál je tvořen peněžitým vkladem ve výši 400 000 Kč, nepeněžitým vkladem ve výši 600 000 Kč (automobil). K datu úpisu byly peněžité vklady splaceny ve výši 300 000 Kč. Nepeněžitý vklad byl vložen do data účinného úpisu. </w:t>
      </w:r>
    </w:p>
    <w:p w:rsidR="00EE3B49" w:rsidRPr="00EE3B49" w:rsidRDefault="003345C0" w:rsidP="00EE3B49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Zaúčtujte z pohledu s.r.o.</w:t>
      </w: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VBÚ – peněžitý vklad (do data úč. </w:t>
            </w:r>
            <w:proofErr w:type="gramStart"/>
            <w:r w:rsidRPr="00EE3B49">
              <w:rPr>
                <w:rFonts w:ascii="Times New Roman" w:eastAsia="Calibri" w:hAnsi="Times New Roman" w:cs="Times New Roman"/>
                <w:sz w:val="24"/>
              </w:rPr>
              <w:t>úpisu</w:t>
            </w:r>
            <w:proofErr w:type="gramEnd"/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vklad automobilu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ID – úpis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ID – zápočet pohledávky a závazku v </w:t>
            </w:r>
            <w:proofErr w:type="gramStart"/>
            <w:r w:rsidRPr="00EE3B49">
              <w:rPr>
                <w:rFonts w:ascii="Times New Roman" w:eastAsia="Calibri" w:hAnsi="Times New Roman" w:cs="Times New Roman"/>
                <w:sz w:val="24"/>
              </w:rPr>
              <w:t>souvislosti s vkladem</w:t>
            </w:r>
            <w:proofErr w:type="gramEnd"/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 a úpisem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Účty vlastního kapitálu ve skupině 41</w:t>
      </w:r>
    </w:p>
    <w:p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 xml:space="preserve"> – Změny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ZK – do zápisu změny ZK do OR</w:t>
      </w:r>
    </w:p>
    <w:p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</w:t>
      </w:r>
      <w:r w:rsidR="004F6F99" w:rsidRPr="00D04231">
        <w:rPr>
          <w:rFonts w:ascii="Times New Roman" w:hAnsi="Times New Roman" w:cs="Times New Roman"/>
          <w:sz w:val="24"/>
        </w:rPr>
        <w:t xml:space="preserve"> – Ážio  </w:t>
      </w:r>
    </w:p>
    <w:p w:rsidR="004F6F99" w:rsidRPr="00D04231" w:rsidRDefault="004F6F99" w:rsidP="00D04231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Emisní ážio u a. s. - </w:t>
      </w:r>
      <w:r w:rsidRPr="00D04231">
        <w:rPr>
          <w:rFonts w:ascii="Times New Roman" w:hAnsi="Times New Roman" w:cs="Times New Roman"/>
          <w:sz w:val="24"/>
        </w:rPr>
        <w:t xml:space="preserve">rozdíl mezi vyšším emisním kursem akcií a jejich jmenovitou hodnotou. </w:t>
      </w:r>
    </w:p>
    <w:p w:rsidR="00D04231" w:rsidRPr="00D04231" w:rsidRDefault="00D04231" w:rsidP="00D04231">
      <w:p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sz w:val="24"/>
        </w:rPr>
        <w:t xml:space="preserve">Jde o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…………………….</w:t>
      </w:r>
      <w:r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D04231">
        <w:rPr>
          <w:rFonts w:ascii="Times New Roman" w:hAnsi="Times New Roman" w:cs="Times New Roman"/>
          <w:sz w:val="24"/>
        </w:rPr>
        <w:t>akcií</w:t>
      </w:r>
      <w:proofErr w:type="gramEnd"/>
      <w:r w:rsidRPr="00D04231">
        <w:rPr>
          <w:rFonts w:ascii="Times New Roman" w:hAnsi="Times New Roman" w:cs="Times New Roman"/>
          <w:sz w:val="24"/>
        </w:rPr>
        <w:t xml:space="preserve">, pomocí něhož se stávající akcionáři brání snížení vlastního kapitálu připadajícího na jednu akcii a noví akcionáři si připlácejí za přístup k fondům a nerozděleným ziskům minulých let. </w:t>
      </w:r>
    </w:p>
    <w:p w:rsidR="004F6F99" w:rsidRPr="00D04231" w:rsidRDefault="00A77F35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4F6F99"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4F6F99" w:rsidRPr="00D04231">
        <w:rPr>
          <w:rFonts w:ascii="Times New Roman" w:hAnsi="Times New Roman" w:cs="Times New Roman"/>
          <w:sz w:val="24"/>
        </w:rPr>
        <w:t>akcie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nesmí být nižší než jmenovitá hodnota akcie. </w:t>
      </w:r>
    </w:p>
    <w:p w:rsidR="004F6F99" w:rsidRPr="00D04231" w:rsidRDefault="004F6F99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Vkladové ážio u s. r. o. </w:t>
      </w:r>
      <w:r w:rsidRPr="00D04231">
        <w:rPr>
          <w:rFonts w:ascii="Times New Roman" w:hAnsi="Times New Roman" w:cs="Times New Roman"/>
          <w:sz w:val="24"/>
        </w:rPr>
        <w:t xml:space="preserve">– obdoba emisního ážia – rozdíl mezi hodnotou vloženého aktiva (peníze, věci) a jeho uznanou výší pro zvýšení ZK </w:t>
      </w:r>
    </w:p>
    <w:p w:rsidR="004F6F99" w:rsidRPr="00D04231" w:rsidRDefault="00A77F35" w:rsidP="00D04231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>– ZK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– po zápisu změny ZK do OR (= částce na výpisu z OR).</w:t>
      </w: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vkladatele</w:t>
      </w:r>
    </w:p>
    <w:p w:rsidR="004F6F99" w:rsidRPr="00761EB4" w:rsidRDefault="004F6F99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Účtuje </w:t>
      </w:r>
      <w:r w:rsidR="00A77F35">
        <w:rPr>
          <w:rFonts w:ascii="Times New Roman" w:hAnsi="Times New Roman" w:cs="Times New Roman"/>
          <w:sz w:val="24"/>
        </w:rPr>
        <w:t>………………………………</w:t>
      </w:r>
      <w:r w:rsidRPr="00761EB4">
        <w:rPr>
          <w:rFonts w:ascii="Times New Roman" w:hAnsi="Times New Roman" w:cs="Times New Roman"/>
          <w:sz w:val="24"/>
        </w:rPr>
        <w:t xml:space="preserve"> (přes  </w:t>
      </w:r>
      <w:proofErr w:type="spellStart"/>
      <w:r w:rsidRPr="00761EB4">
        <w:rPr>
          <w:rFonts w:ascii="Times New Roman" w:hAnsi="Times New Roman" w:cs="Times New Roman"/>
          <w:sz w:val="24"/>
        </w:rPr>
        <w:t>účt</w:t>
      </w:r>
      <w:proofErr w:type="spellEnd"/>
      <w:r w:rsidRPr="00761EB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1EB4">
        <w:rPr>
          <w:rFonts w:ascii="Times New Roman" w:hAnsi="Times New Roman" w:cs="Times New Roman"/>
          <w:sz w:val="24"/>
        </w:rPr>
        <w:t>sk</w:t>
      </w:r>
      <w:proofErr w:type="spellEnd"/>
      <w:r w:rsidRPr="00761EB4">
        <w:rPr>
          <w:rFonts w:ascii="Times New Roman" w:hAnsi="Times New Roman" w:cs="Times New Roman"/>
          <w:sz w:val="24"/>
        </w:rPr>
        <w:t xml:space="preserve">. 37, 36), vznik podílu vč. zápočtu uhrazené částky na zvýšení základního kapitálu - až po zápise v obchodním rejstříku. </w:t>
      </w:r>
    </w:p>
    <w:p w:rsidR="004F6F99" w:rsidRDefault="00761EB4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Emisní </w:t>
      </w:r>
      <w:r w:rsidR="00A77F35">
        <w:rPr>
          <w:rFonts w:ascii="Times New Roman" w:hAnsi="Times New Roman" w:cs="Times New Roman"/>
          <w:sz w:val="24"/>
        </w:rPr>
        <w:t>(…………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="004F6F99" w:rsidRPr="00761EB4">
        <w:rPr>
          <w:rFonts w:ascii="Times New Roman" w:hAnsi="Times New Roman" w:cs="Times New Roman"/>
          <w:sz w:val="24"/>
        </w:rPr>
        <w:t>) ážio</w:t>
      </w:r>
      <w:proofErr w:type="gramEnd"/>
      <w:r w:rsidR="004F6F99" w:rsidRPr="00761EB4">
        <w:rPr>
          <w:rFonts w:ascii="Times New Roman" w:hAnsi="Times New Roman" w:cs="Times New Roman"/>
          <w:sz w:val="24"/>
        </w:rPr>
        <w:t xml:space="preserve"> je součástí </w:t>
      </w:r>
      <w:r w:rsidR="00A77F35">
        <w:rPr>
          <w:rFonts w:ascii="Times New Roman" w:hAnsi="Times New Roman" w:cs="Times New Roman"/>
          <w:sz w:val="24"/>
        </w:rPr>
        <w:t>…………………………………</w:t>
      </w:r>
      <w:r w:rsidR="004F6F99" w:rsidRPr="00761EB4">
        <w:rPr>
          <w:rFonts w:ascii="Times New Roman" w:hAnsi="Times New Roman" w:cs="Times New Roman"/>
          <w:sz w:val="24"/>
        </w:rPr>
        <w:t xml:space="preserve"> majetku (účtová skupina 06).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0B6915">
        <w:rPr>
          <w:rFonts w:ascii="Verdana" w:hAnsi="Verdana"/>
          <w:noProof/>
          <w:color w:val="C00000"/>
          <w:sz w:val="24"/>
          <w:lang w:eastAsia="cs-CZ"/>
        </w:rPr>
        <w:lastRenderedPageBreak/>
        <w:drawing>
          <wp:inline distT="0" distB="0" distL="0" distR="0" wp14:anchorId="048A62EA" wp14:editId="4C01653A">
            <wp:extent cx="4571999" cy="2171700"/>
            <wp:effectExtent l="0" t="0" r="63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945" b="19722"/>
                    <a:stretch/>
                  </pic:blipFill>
                  <pic:spPr bwMode="auto">
                    <a:xfrm>
                      <a:off x="0" y="0"/>
                      <a:ext cx="4572638" cy="217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Pr="004F6F99" w:rsidRDefault="00761EB4" w:rsidP="00761EB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II. Zvýšení základního kapitálu z vlastních zdrojů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4F6F99" w:rsidRPr="00761EB4" w:rsidRDefault="004F6F99" w:rsidP="00761EB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>§ 495 – 504 ZOK (a.s.), § 227 - 232 ZOK (s.r.o.)</w:t>
      </w:r>
    </w:p>
    <w:p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</w:t>
      </w:r>
    </w:p>
    <w:p w:rsidR="004F6F99" w:rsidRPr="00761EB4" w:rsidRDefault="004F6F99" w:rsidP="00761EB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Dochází k vydání nových akcií nebo zvýšení jmenovité hodnoty dosavadních akcií </w:t>
      </w:r>
    </w:p>
    <w:p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……………………………………………………………..</w:t>
      </w:r>
    </w:p>
    <w:p w:rsidR="004F6F99" w:rsidRPr="00761EB4" w:rsidRDefault="004F6F99" w:rsidP="00761EB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Mění se výše vkladů společníků v poměru dosavadních vkladů, příp. vznikají nové podíly 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Podmínky zvýšení ZK</w:t>
      </w:r>
    </w:p>
    <w:p w:rsidR="004F6F99" w:rsidRPr="00761EB4" w:rsidRDefault="00761EB4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Schválení </w:t>
      </w:r>
      <w:r w:rsidR="004F6F99" w:rsidRPr="00761EB4">
        <w:rPr>
          <w:rFonts w:ascii="Times New Roman" w:hAnsi="Times New Roman" w:cs="Times New Roman"/>
          <w:sz w:val="24"/>
        </w:rPr>
        <w:t xml:space="preserve">řádné ÚZ </w:t>
      </w:r>
    </w:p>
    <w:p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ÚZ musí být sestavena z údajů zjištěných nejpozději ke dni, od něhož ke dni rozhodnutí valné hromady o zvýšení ZK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………………………………</w:t>
      </w:r>
      <w:proofErr w:type="gramStart"/>
      <w:r w:rsidR="00A77F35">
        <w:rPr>
          <w:rFonts w:ascii="Times New Roman" w:hAnsi="Times New Roman" w:cs="Times New Roman"/>
          <w:b/>
          <w:bCs/>
          <w:sz w:val="24"/>
        </w:rPr>
        <w:t>…..</w:t>
      </w:r>
      <w:proofErr w:type="gramEnd"/>
    </w:p>
    <w:p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Byl proveden audit účetní závěrky s výsledkem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…………………………….</w:t>
      </w:r>
      <w:r w:rsidRPr="00761EB4">
        <w:rPr>
          <w:rFonts w:ascii="Times New Roman" w:hAnsi="Times New Roman" w:cs="Times New Roman"/>
          <w:sz w:val="24"/>
        </w:rPr>
        <w:t xml:space="preserve"> </w:t>
      </w:r>
    </w:p>
    <w:p w:rsidR="004F6F99" w:rsidRPr="00761EB4" w:rsidRDefault="00A77F35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…………………………………..</w:t>
      </w:r>
      <w:r w:rsidR="004F6F99" w:rsidRPr="00761EB4">
        <w:rPr>
          <w:rFonts w:ascii="Times New Roman" w:hAnsi="Times New Roman" w:cs="Times New Roman"/>
          <w:b/>
          <w:bCs/>
          <w:sz w:val="24"/>
        </w:rPr>
        <w:t xml:space="preserve"> -</w:t>
      </w:r>
      <w:r w:rsidR="004F6F99" w:rsidRPr="00761EB4">
        <w:rPr>
          <w:rFonts w:ascii="Times New Roman" w:hAnsi="Times New Roman" w:cs="Times New Roman"/>
          <w:sz w:val="24"/>
        </w:rPr>
        <w:t xml:space="preserve"> částka zvyšující ZK nemůže přesahovat rozdíl mezi výší VK a výší ZK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9F4BCCF" wp14:editId="2CFC07D3">
            <wp:extent cx="4571999" cy="2352675"/>
            <wp:effectExtent l="0" t="0" r="63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9722" b="11666"/>
                    <a:stretch/>
                  </pic:blipFill>
                  <pic:spPr bwMode="auto">
                    <a:xfrm>
                      <a:off x="0" y="0"/>
                      <a:ext cx="4572638" cy="235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:rsidR="001F6EDD" w:rsidRPr="001F6EDD" w:rsidRDefault="00A77F35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56A6A" wp14:editId="2CB05F3E">
                <wp:simplePos x="0" y="0"/>
                <wp:positionH relativeFrom="margin">
                  <wp:posOffset>-30480</wp:posOffset>
                </wp:positionH>
                <wp:positionV relativeFrom="paragraph">
                  <wp:posOffset>-52705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2.4pt;margin-top:-4.1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N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+DciD4AAAAAgBAAAPAAAAZHJzL2Rvd25y&#10;ZXYueG1sTI/NTsMwEITvSLyDtUhcUOvQH9KkcSqExAGph1LyAE6yJGntdRS7aXh7lhM9rUYzmvk2&#10;203WiBEH3zlS8DyPQCBVru6oUVB8vc82IHzQVGvjCBX8oIddfn+X6bR2V/rE8RgawSXkU62gDaFP&#10;pfRVi1b7ueuR2Pt2g9WB5dDIetBXLrdGLqLoRVrdES+0use3Fqvz8WIVLBMbm0N8WtPTeTwUxcfe&#10;+HKv1OPD9LoFEXAK/2H4w2d0yJmpdBeqvTAKZismD3w3SxDsJ9F6BaJUsEhikHkmbx/IfwEAAP//&#10;AwBQSwECLQAUAAYACAAAACEAtoM4kv4AAADhAQAAEwAAAAAAAAAAAAAAAAAAAAAAW0NvbnRlbnRf&#10;VHlwZXNdLnhtbFBLAQItABQABgAIAAAAIQA4/SH/1gAAAJQBAAALAAAAAAAAAAAAAAAAAC8BAABf&#10;cmVscy8ucmVsc1BLAQItABQABgAIAAAAIQAU/7Nq1wIAAKsFAAAOAAAAAAAAAAAAAAAAAC4CAABk&#10;cnMvZTJvRG9jLnhtbFBLAQItABQABgAIAAAAIQA+DciD4AAAAAgBAAAPAAAAAAAAAAAAAAAAADEF&#10;AABkcnMvZG93bnJldi54bWxQSwUGAAAAAAQABADzAAAAPg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1F6EDD" w:rsidRPr="001F6EDD">
        <w:rPr>
          <w:rFonts w:ascii="Times New Roman" w:eastAsia="Calibri" w:hAnsi="Times New Roman" w:cs="Times New Roman"/>
          <w:b/>
          <w:sz w:val="24"/>
        </w:rPr>
        <w:t>Příklad 2 – Zvýšení ZK z vlastních zdrojů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400 000 Kč, a to formou 100 000 Kč z příplatků mimo základní kapitál, 100 000 Kč ze statutárních fondů, 100 000 Kč z ostatních fondů a 100 000 Kč z výsledku hospodaření – zisku – z roku 2017. </w: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Vytvořte účetní případy a zaúčtujte z pohledu s.r.o. </w: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bCs/>
                <w:color w:val="000000" w:themeColor="text1"/>
                <w:kern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Pr="00761EB4" w:rsidRDefault="001F6EDD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Pr="004F6F99" w:rsidRDefault="00761EB4" w:rsidP="00EE3B49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761EB4" w:rsidRPr="004F6F99" w:rsidRDefault="001F6EDD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III. Podmíněné zvýšení</w:t>
      </w:r>
    </w:p>
    <w:p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§ 505 – 510 ZOK, § 286 - 294 ZOK </w:t>
      </w:r>
    </w:p>
    <w:p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Vydání vyměnitelných nebo prioritních dluhopisů + rozhodnutí o zvýšení ZK </w:t>
      </w:r>
    </w:p>
    <w:p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>– zaúčtujte</w:t>
      </w:r>
      <w:proofErr w:type="gramEnd"/>
      <w:r w:rsidR="004F6F99" w:rsidRPr="001F6EDD">
        <w:rPr>
          <w:rFonts w:ascii="Times New Roman" w:hAnsi="Times New Roman" w:cs="Times New Roman"/>
          <w:sz w:val="24"/>
        </w:rPr>
        <w:t xml:space="preserve"> se snížení závazku z titulu dluhopisu a </w:t>
      </w:r>
      <w:r>
        <w:rPr>
          <w:rFonts w:ascii="Times New Roman" w:hAnsi="Times New Roman" w:cs="Times New Roman"/>
          <w:sz w:val="24"/>
        </w:rPr>
        <w:t>………………………</w:t>
      </w:r>
      <w:r w:rsidR="004F6F99" w:rsidRPr="001F6EDD">
        <w:rPr>
          <w:rFonts w:ascii="Times New Roman" w:hAnsi="Times New Roman" w:cs="Times New Roman"/>
          <w:sz w:val="24"/>
        </w:rPr>
        <w:t xml:space="preserve">, akcionář snížení dluhopisů a nabytí podílu </w:t>
      </w:r>
    </w:p>
    <w:p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>– úpis</w:t>
      </w:r>
      <w:proofErr w:type="gramEnd"/>
      <w:r w:rsidR="004F6F99" w:rsidRPr="001F6EDD">
        <w:rPr>
          <w:rFonts w:ascii="Times New Roman" w:hAnsi="Times New Roman" w:cs="Times New Roman"/>
          <w:sz w:val="24"/>
        </w:rPr>
        <w:t xml:space="preserve"> akcií + vznik závazku z titulu dluhopisu v době jeho splatnosti, akcionář úpis akcií (vznik pohledávky) a vznik podílu (vznik závazku) </w:t>
      </w:r>
    </w:p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Současně usnesení valné hromady na vydání dluhopisů a usnesení o zvýšení ZK</w:t>
      </w:r>
    </w:p>
    <w:p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b/>
          <w:bCs/>
          <w:sz w:val="24"/>
          <w:lang w:val="pl-PL"/>
        </w:rPr>
        <w:t>Dluhopisy</w:t>
      </w:r>
      <w:r w:rsidRPr="001F6EDD">
        <w:rPr>
          <w:rFonts w:ascii="Times New Roman" w:hAnsi="Times New Roman" w:cs="Times New Roman"/>
          <w:sz w:val="24"/>
          <w:lang w:val="pl-PL"/>
        </w:rPr>
        <w:t>, s nimiž je spojeno právo:</w:t>
      </w:r>
    </w:p>
    <w:p w:rsidR="004F6F99" w:rsidRPr="001F6EDD" w:rsidRDefault="00A77F35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</w:p>
    <w:p w:rsidR="004F6F99" w:rsidRPr="001F6EDD" w:rsidRDefault="004F6F99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prioritní</w:t>
      </w:r>
    </w:p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1F6EDD" w:rsidRPr="007417C4" w:rsidRDefault="001F6EDD" w:rsidP="001F6EDD">
      <w:pPr>
        <w:spacing w:after="0"/>
        <w:rPr>
          <w:rFonts w:ascii="Times New Roman" w:hAnsi="Times New Roman" w:cs="Times New Roman"/>
          <w:sz w:val="24"/>
        </w:rPr>
      </w:pPr>
      <w:r w:rsidRPr="007417C4">
        <w:rPr>
          <w:rFonts w:ascii="Times New Roman" w:hAnsi="Times New Roman" w:cs="Times New Roman"/>
          <w:sz w:val="24"/>
        </w:rPr>
        <w:t xml:space="preserve">Účtování u </w:t>
      </w:r>
      <w:r>
        <w:rPr>
          <w:rFonts w:ascii="Times New Roman" w:hAnsi="Times New Roman" w:cs="Times New Roman"/>
          <w:sz w:val="24"/>
        </w:rPr>
        <w:t xml:space="preserve">obchodní </w:t>
      </w:r>
      <w:r w:rsidRPr="007417C4">
        <w:rPr>
          <w:rFonts w:ascii="Times New Roman" w:hAnsi="Times New Roman" w:cs="Times New Roman"/>
          <w:sz w:val="24"/>
        </w:rPr>
        <w:t xml:space="preserve">společnosti </w:t>
      </w:r>
    </w:p>
    <w:p w:rsidR="001F6EDD" w:rsidRPr="007417C4" w:rsidRDefault="001F6EDD" w:rsidP="001F6EDD">
      <w:pPr>
        <w:spacing w:after="0"/>
        <w:rPr>
          <w:rFonts w:ascii="Verdana" w:hAnsi="Verdana"/>
          <w:b/>
          <w:sz w:val="24"/>
        </w:rPr>
      </w:pPr>
      <w:r w:rsidRPr="007417C4">
        <w:rPr>
          <w:rFonts w:ascii="Verdana" w:hAnsi="Verdana"/>
          <w:b/>
          <w:noProof/>
          <w:sz w:val="24"/>
          <w:lang w:eastAsia="cs-CZ"/>
        </w:rPr>
        <w:drawing>
          <wp:inline distT="0" distB="0" distL="0" distR="0" wp14:anchorId="2F2ACBAF" wp14:editId="17D4CA79">
            <wp:extent cx="5759725" cy="22514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6508" b="13984"/>
                    <a:stretch/>
                  </pic:blipFill>
                  <pic:spPr bwMode="auto">
                    <a:xfrm>
                      <a:off x="0" y="0"/>
                      <a:ext cx="5760720" cy="225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EDD" w:rsidRDefault="001F6EDD" w:rsidP="001F6EDD"/>
    <w:p w:rsidR="001F6EDD" w:rsidRDefault="001F6EDD" w:rsidP="001F6EDD">
      <w:r>
        <w:lastRenderedPageBreak/>
        <w:t>Účtování u ……………………………</w:t>
      </w:r>
    </w:p>
    <w:p w:rsidR="001F6EDD" w:rsidRDefault="001F6EDD" w:rsidP="001F6EDD">
      <w:r w:rsidRPr="007417C4">
        <w:rPr>
          <w:noProof/>
          <w:lang w:eastAsia="cs-CZ"/>
        </w:rPr>
        <w:drawing>
          <wp:inline distT="0" distB="0" distL="0" distR="0" wp14:anchorId="59684BE3" wp14:editId="11342BB1">
            <wp:extent cx="5760287" cy="2415396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6242" b="9198"/>
                    <a:stretch/>
                  </pic:blipFill>
                  <pic:spPr bwMode="auto">
                    <a:xfrm>
                      <a:off x="0" y="0"/>
                      <a:ext cx="5760720" cy="241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484AB" wp14:editId="49B27A53">
                <wp:simplePos x="0" y="0"/>
                <wp:positionH relativeFrom="margin">
                  <wp:posOffset>-78105</wp:posOffset>
                </wp:positionH>
                <wp:positionV relativeFrom="paragraph">
                  <wp:posOffset>139065</wp:posOffset>
                </wp:positionV>
                <wp:extent cx="5779770" cy="241300"/>
                <wp:effectExtent l="0" t="0" r="11430" b="2540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-6.15pt;margin-top:10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bRWSk4AAAAAkBAAAPAAAAZHJzL2Rvd25y&#10;ZXYueG1sTI9BTsMwEEX3SNzBGiQ2qHWSqqQOcSqExAKpi1JyACceklB7HMVuGm6PWcFuRvP05/1y&#10;v1jDZpz84EhCuk6AIbVOD9RJqD9eVztgPijSyjhCCd/oYV/d3pSq0O5K7zifQsdiCPlCSehDGAvO&#10;fdujVX7tRqR4+3STVSGuU8f1pK4x3BqeJckjt2qg+KFXI7702J5PFythI2xujvnXlh7O87Gu3w7G&#10;Nwcp7++W5ydgAZfwB8OvflSHKjo17kLaMyNhlWabiErIUgEsAjuRx6GRsBUCeFXy/w2qHwAAAP//&#10;AwBQSwECLQAUAAYACAAAACEAtoM4kv4AAADhAQAAEwAAAAAAAAAAAAAAAAAAAAAAW0NvbnRlbnRf&#10;VHlwZXNdLnhtbFBLAQItABQABgAIAAAAIQA4/SH/1gAAAJQBAAALAAAAAAAAAAAAAAAAAC8BAABf&#10;cmVscy8ucmVsc1BLAQItABQABgAIAAAAIQD/EZyS1wIAAKsFAAAOAAAAAAAAAAAAAAAAAC4CAABk&#10;cnMvZTJvRG9jLnhtbFBLAQItABQABgAIAAAAIQCbRWSk4AAAAAkBAAAPAAAAAAAAAAAAAAAAADEF&#10;AABkcnMvZG93bnJldi54bWxQSwUGAAAAAAQABADzAAAAPg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1F6EDD">
        <w:rPr>
          <w:rFonts w:ascii="Times New Roman" w:eastAsia="Calibri" w:hAnsi="Times New Roman" w:cs="Times New Roman"/>
          <w:b/>
          <w:sz w:val="24"/>
        </w:rPr>
        <w:t xml:space="preserve"> – Podmíněné zvýšení základního kapitálu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V akciové společnosti proběhlo zvýšení základního kapitálu. Společnost vydala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prioritní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(splatnost je delší než 1 rok) ve jmenovité hodnotě 12 000 000 Kč. Dluhopisy jsou úročeny částkou 2 % z 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rok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(splatnost dluhopisů jsou 4 roky).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Dochází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k emisi akcií ve jmenovité hodnotě 12 000 000 Kč při emisním kurzu 12 000 000 Kč Závazek z dluhopisu 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bude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započten v souvislosti s pohledávkou za upsaný základní kapitál. Zaúčtuje z pohledu společnosti.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12 000 000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předpis závazku z proplacení dluhopisů v době jejich splatnosti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úpis akcií 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Jmenovitá hodnota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kurz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ážio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ID – zápočet pohledávku (úpis akcie) a závazku (prioritní dluhopis)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Pr="001F6EDD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by se změnilo účtování u akciové společnosti, pokud by místo prioritních dluhopisů byly vydány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vyměnitelné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(ve jmenovité hodnotě i emisním kurzu 12 000 000 Kč).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ob. 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společnosti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1F6EDD" w:rsidRDefault="001F6EDD" w:rsidP="001F6EDD"/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1F6EDD" w:rsidRPr="00EE3B49" w:rsidRDefault="001F6EDD" w:rsidP="00EE3B49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6EDD" w:rsidRPr="00EE3B4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99" w:rsidRDefault="004F6F99" w:rsidP="000B6915">
      <w:pPr>
        <w:spacing w:after="0" w:line="240" w:lineRule="auto"/>
      </w:pPr>
      <w:r>
        <w:separator/>
      </w:r>
    </w:p>
  </w:endnote>
  <w:endnote w:type="continuationSeparator" w:id="0">
    <w:p w:rsidR="004F6F99" w:rsidRDefault="004F6F99" w:rsidP="000B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:rsidR="004F6F99" w:rsidRPr="00A527F9" w:rsidRDefault="004F6F99" w:rsidP="00A527F9">
        <w:pPr>
          <w:pStyle w:val="Zpat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116552">
          <w:rPr>
            <w:rFonts w:asciiTheme="majorHAnsi" w:eastAsiaTheme="majorEastAsia" w:hAnsiTheme="majorHAnsi" w:cstheme="majorBidi"/>
          </w:rPr>
          <w:t xml:space="preserve"> </w:t>
        </w:r>
        <w:r w:rsidR="0018491C">
          <w:rPr>
            <w:rFonts w:asciiTheme="majorHAnsi" w:eastAsiaTheme="majorEastAsia" w:hAnsiTheme="majorHAnsi" w:cstheme="majorBidi"/>
          </w:rPr>
          <w:t xml:space="preserve">              3. přednáška</w:t>
        </w:r>
        <w:proofErr w:type="gramEnd"/>
        <w:r w:rsidR="0018491C">
          <w:rPr>
            <w:rFonts w:asciiTheme="majorHAnsi" w:eastAsiaTheme="majorEastAsia" w:hAnsiTheme="majorHAnsi" w:cstheme="majorBidi"/>
          </w:rPr>
          <w:t xml:space="preserve">  – 13 10. 2022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18491C" w:rsidRPr="0018491C">
          <w:rPr>
            <w:rFonts w:asciiTheme="majorHAnsi" w:eastAsiaTheme="majorEastAsia" w:hAnsiTheme="majorHAnsi" w:cstheme="majorBidi"/>
            <w:noProof/>
          </w:rPr>
          <w:t>10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4F6F99" w:rsidRDefault="004F6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99" w:rsidRDefault="004F6F99" w:rsidP="000B6915">
      <w:pPr>
        <w:spacing w:after="0" w:line="240" w:lineRule="auto"/>
      </w:pPr>
      <w:r>
        <w:separator/>
      </w:r>
    </w:p>
  </w:footnote>
  <w:footnote w:type="continuationSeparator" w:id="0">
    <w:p w:rsidR="004F6F99" w:rsidRDefault="004F6F99" w:rsidP="000B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A7"/>
    <w:multiLevelType w:val="hybridMultilevel"/>
    <w:tmpl w:val="7780FEC2"/>
    <w:lvl w:ilvl="0" w:tplc="FEA83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EAD1A">
      <w:start w:val="1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E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B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556B2"/>
    <w:multiLevelType w:val="hybridMultilevel"/>
    <w:tmpl w:val="83086BAE"/>
    <w:lvl w:ilvl="0" w:tplc="791E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A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8E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F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45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5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3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E17E6"/>
    <w:multiLevelType w:val="hybridMultilevel"/>
    <w:tmpl w:val="3208D852"/>
    <w:lvl w:ilvl="0" w:tplc="7026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A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2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C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2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817B7"/>
    <w:multiLevelType w:val="hybridMultilevel"/>
    <w:tmpl w:val="08D6420A"/>
    <w:lvl w:ilvl="0" w:tplc="0B587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2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6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7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0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A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E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007B66"/>
    <w:multiLevelType w:val="hybridMultilevel"/>
    <w:tmpl w:val="922E7C8A"/>
    <w:lvl w:ilvl="0" w:tplc="50D21D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E55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2C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42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1F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5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C1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C59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3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8388C"/>
    <w:multiLevelType w:val="hybridMultilevel"/>
    <w:tmpl w:val="D7CE9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529D"/>
    <w:multiLevelType w:val="hybridMultilevel"/>
    <w:tmpl w:val="390E47D0"/>
    <w:lvl w:ilvl="0" w:tplc="8E5E34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0C9BE">
      <w:start w:val="16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CC6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CA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E7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CF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A6C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CB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82621"/>
    <w:multiLevelType w:val="hybridMultilevel"/>
    <w:tmpl w:val="F202F7D0"/>
    <w:lvl w:ilvl="0" w:tplc="863C4D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641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6BC08">
      <w:start w:val="169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C7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A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4DC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1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87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1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07D31"/>
    <w:multiLevelType w:val="hybridMultilevel"/>
    <w:tmpl w:val="D5965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2CE"/>
    <w:multiLevelType w:val="hybridMultilevel"/>
    <w:tmpl w:val="F4FE79AA"/>
    <w:lvl w:ilvl="0" w:tplc="D6DA1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2E7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F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FD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C6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2C4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E7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C2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84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E2CEA"/>
    <w:multiLevelType w:val="hybridMultilevel"/>
    <w:tmpl w:val="8D707234"/>
    <w:lvl w:ilvl="0" w:tplc="BE56A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4FF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17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3B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45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091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67E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0D9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101BF"/>
    <w:multiLevelType w:val="hybridMultilevel"/>
    <w:tmpl w:val="FB82726E"/>
    <w:lvl w:ilvl="0" w:tplc="560C66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87F1E"/>
    <w:multiLevelType w:val="hybridMultilevel"/>
    <w:tmpl w:val="F6BAF146"/>
    <w:lvl w:ilvl="0" w:tplc="8A1CF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61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09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A9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089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E8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82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55433"/>
    <w:multiLevelType w:val="hybridMultilevel"/>
    <w:tmpl w:val="FF948ADC"/>
    <w:lvl w:ilvl="0" w:tplc="9ECA3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E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26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C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05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4F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A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26F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7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914041"/>
    <w:multiLevelType w:val="hybridMultilevel"/>
    <w:tmpl w:val="794CC2E6"/>
    <w:lvl w:ilvl="0" w:tplc="79BCB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F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4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E1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5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C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C9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6B1D97"/>
    <w:multiLevelType w:val="hybridMultilevel"/>
    <w:tmpl w:val="B56A1774"/>
    <w:lvl w:ilvl="0" w:tplc="2850D3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62C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C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AA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44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65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E3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214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B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C6E99"/>
    <w:multiLevelType w:val="hybridMultilevel"/>
    <w:tmpl w:val="644652E4"/>
    <w:lvl w:ilvl="0" w:tplc="7B0AC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89A60">
      <w:start w:val="11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2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9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23D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68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2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9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4A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463BD"/>
    <w:multiLevelType w:val="hybridMultilevel"/>
    <w:tmpl w:val="0CB03194"/>
    <w:lvl w:ilvl="0" w:tplc="73224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434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73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7A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48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E17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8F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6C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66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D0FCC"/>
    <w:multiLevelType w:val="hybridMultilevel"/>
    <w:tmpl w:val="8D84A662"/>
    <w:lvl w:ilvl="0" w:tplc="6762B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67332">
      <w:start w:val="12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06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49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D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F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61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CB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84523"/>
    <w:multiLevelType w:val="hybridMultilevel"/>
    <w:tmpl w:val="FF2E2A64"/>
    <w:lvl w:ilvl="0" w:tplc="AF0E4E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8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9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5F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A5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D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50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EC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A7A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25FE5"/>
    <w:multiLevelType w:val="hybridMultilevel"/>
    <w:tmpl w:val="2A80C6A4"/>
    <w:lvl w:ilvl="0" w:tplc="3AAE9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5D1E">
      <w:start w:val="10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F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4E0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77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84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84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87628"/>
    <w:multiLevelType w:val="hybridMultilevel"/>
    <w:tmpl w:val="3D86BB52"/>
    <w:lvl w:ilvl="0" w:tplc="ED1E34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07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68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0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01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068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93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27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2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7362E"/>
    <w:multiLevelType w:val="hybridMultilevel"/>
    <w:tmpl w:val="8DB4D780"/>
    <w:lvl w:ilvl="0" w:tplc="E8C4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C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A0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6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8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20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16"/>
  </w:num>
  <w:num w:numId="21">
    <w:abstractNumId w:val="8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B"/>
    <w:rsid w:val="000B4047"/>
    <w:rsid w:val="000B6915"/>
    <w:rsid w:val="00116552"/>
    <w:rsid w:val="0018491C"/>
    <w:rsid w:val="001962A7"/>
    <w:rsid w:val="001F6EDD"/>
    <w:rsid w:val="00222E0B"/>
    <w:rsid w:val="002A584E"/>
    <w:rsid w:val="003345C0"/>
    <w:rsid w:val="00454C3D"/>
    <w:rsid w:val="004F6F99"/>
    <w:rsid w:val="005138B4"/>
    <w:rsid w:val="005203A4"/>
    <w:rsid w:val="006B62E3"/>
    <w:rsid w:val="00761EB4"/>
    <w:rsid w:val="00886C0D"/>
    <w:rsid w:val="00913F78"/>
    <w:rsid w:val="0093656D"/>
    <w:rsid w:val="00A527F9"/>
    <w:rsid w:val="00A77F35"/>
    <w:rsid w:val="00AF5730"/>
    <w:rsid w:val="00C419BB"/>
    <w:rsid w:val="00D04231"/>
    <w:rsid w:val="00D26308"/>
    <w:rsid w:val="00D43D58"/>
    <w:rsid w:val="00E30743"/>
    <w:rsid w:val="00EE3B49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8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7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7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2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E111-E93E-4A90-B93E-48D29FF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13</cp:revision>
  <dcterms:created xsi:type="dcterms:W3CDTF">2020-06-26T06:41:00Z</dcterms:created>
  <dcterms:modified xsi:type="dcterms:W3CDTF">2022-07-01T15:03:00Z</dcterms:modified>
</cp:coreProperties>
</file>