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EF" w:rsidRPr="0026089E" w:rsidRDefault="007D42EF" w:rsidP="0026089E">
      <w:pPr>
        <w:spacing w:after="0"/>
        <w:jc w:val="center"/>
        <w:rPr>
          <w:b/>
          <w:sz w:val="24"/>
          <w:szCs w:val="24"/>
        </w:rPr>
      </w:pPr>
      <w:r w:rsidRPr="0026089E">
        <w:rPr>
          <w:b/>
          <w:sz w:val="24"/>
          <w:szCs w:val="24"/>
        </w:rPr>
        <w:t>Rozbor majetkové a kapitálové struktury</w:t>
      </w:r>
    </w:p>
    <w:p w:rsidR="007D42EF" w:rsidRPr="0026089E" w:rsidRDefault="007D42EF" w:rsidP="0026089E">
      <w:pPr>
        <w:spacing w:after="0"/>
        <w:rPr>
          <w:sz w:val="24"/>
          <w:szCs w:val="24"/>
        </w:rPr>
      </w:pPr>
      <w:r w:rsidRPr="0026089E">
        <w:rPr>
          <w:sz w:val="24"/>
          <w:szCs w:val="24"/>
        </w:rPr>
        <w:t>Na základě údajů z rozvahy ve zjednodušeném rozsahu (k 31. 12. – v tis. Kč) posuďte A) kapitálovou strukturu podniku ve vztahu k jeho majetkové struktuře za posledních 5 let, jinak stačí 3 roky. Potřebné tržby byly extrahovány z výkazu zisků a ztrát.</w:t>
      </w:r>
    </w:p>
    <w:p w:rsidR="007D42EF" w:rsidRPr="0026089E" w:rsidRDefault="007D42EF" w:rsidP="0026089E">
      <w:pPr>
        <w:spacing w:after="0"/>
        <w:rPr>
          <w:b/>
          <w:sz w:val="24"/>
          <w:szCs w:val="24"/>
        </w:rPr>
      </w:pPr>
      <w:r w:rsidRPr="0026089E">
        <w:rPr>
          <w:b/>
          <w:sz w:val="24"/>
          <w:szCs w:val="24"/>
        </w:rPr>
        <w:t>Tab. 1 Rozvaha ve zjednodušeném (zkráceném) rozsahu</w:t>
      </w:r>
      <w:r w:rsidR="0026089E" w:rsidRPr="0026089E">
        <w:rPr>
          <w:b/>
          <w:sz w:val="24"/>
          <w:szCs w:val="24"/>
        </w:rPr>
        <w:t xml:space="preserve"> </w:t>
      </w:r>
      <w:r w:rsidR="0026089E" w:rsidRPr="0026089E">
        <w:rPr>
          <w:rFonts w:ascii="Calibri" w:eastAsia="Calibri" w:hAnsi="Calibri" w:cs="Calibri"/>
          <w:sz w:val="24"/>
          <w:szCs w:val="24"/>
        </w:rPr>
        <w:t>v letech 2014 až 2019 (v tis. Kč)</w:t>
      </w:r>
    </w:p>
    <w:tbl>
      <w:tblPr>
        <w:tblStyle w:val="TableGrid"/>
        <w:tblW w:w="8899" w:type="dxa"/>
        <w:tblInd w:w="-108" w:type="dxa"/>
        <w:tblCellMar>
          <w:top w:w="6" w:type="dxa"/>
          <w:left w:w="108" w:type="dxa"/>
          <w:right w:w="65" w:type="dxa"/>
        </w:tblCellMar>
        <w:tblLook w:val="04A0" w:firstRow="1" w:lastRow="0" w:firstColumn="1" w:lastColumn="0" w:noHBand="0" w:noVBand="1"/>
      </w:tblPr>
      <w:tblGrid>
        <w:gridCol w:w="1102"/>
        <w:gridCol w:w="2693"/>
        <w:gridCol w:w="850"/>
        <w:gridCol w:w="852"/>
        <w:gridCol w:w="850"/>
        <w:gridCol w:w="850"/>
        <w:gridCol w:w="852"/>
        <w:gridCol w:w="850"/>
      </w:tblGrid>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b/>
                <w:sz w:val="24"/>
                <w:szCs w:val="24"/>
              </w:rPr>
              <w:t xml:space="preserve">Označení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b/>
                <w:sz w:val="24"/>
                <w:szCs w:val="24"/>
              </w:rPr>
              <w:t xml:space="preserve">Položka v rozvaze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43"/>
              <w:jc w:val="center"/>
              <w:rPr>
                <w:sz w:val="24"/>
                <w:szCs w:val="24"/>
              </w:rPr>
            </w:pPr>
            <w:r w:rsidRPr="0026089E">
              <w:rPr>
                <w:b/>
                <w:sz w:val="24"/>
                <w:szCs w:val="24"/>
              </w:rPr>
              <w:t>2014</w:t>
            </w:r>
            <w:r w:rsidR="007D42EF" w:rsidRPr="0026089E">
              <w:rPr>
                <w:b/>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41"/>
              <w:jc w:val="center"/>
              <w:rPr>
                <w:sz w:val="24"/>
                <w:szCs w:val="24"/>
              </w:rPr>
            </w:pPr>
            <w:r w:rsidRPr="0026089E">
              <w:rPr>
                <w:b/>
                <w:sz w:val="24"/>
                <w:szCs w:val="24"/>
              </w:rPr>
              <w:t>2015</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44"/>
              <w:jc w:val="center"/>
              <w:rPr>
                <w:sz w:val="24"/>
                <w:szCs w:val="24"/>
              </w:rPr>
            </w:pPr>
            <w:r w:rsidRPr="0026089E">
              <w:rPr>
                <w:b/>
                <w:sz w:val="24"/>
                <w:szCs w:val="24"/>
              </w:rPr>
              <w:t>2016</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39"/>
              <w:jc w:val="center"/>
              <w:rPr>
                <w:sz w:val="24"/>
                <w:szCs w:val="24"/>
              </w:rPr>
            </w:pPr>
            <w:r w:rsidRPr="0026089E">
              <w:rPr>
                <w:b/>
                <w:sz w:val="24"/>
                <w:szCs w:val="24"/>
              </w:rPr>
              <w:t>2017</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46"/>
              <w:jc w:val="center"/>
              <w:rPr>
                <w:sz w:val="24"/>
                <w:szCs w:val="24"/>
              </w:rPr>
            </w:pPr>
            <w:r w:rsidRPr="0026089E">
              <w:rPr>
                <w:b/>
                <w:sz w:val="24"/>
                <w:szCs w:val="24"/>
              </w:rPr>
              <w:t>2018</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255930" w:rsidP="0026089E">
            <w:pPr>
              <w:spacing w:line="259" w:lineRule="auto"/>
              <w:ind w:right="39"/>
              <w:jc w:val="center"/>
              <w:rPr>
                <w:sz w:val="24"/>
                <w:szCs w:val="24"/>
              </w:rPr>
            </w:pPr>
            <w:r w:rsidRPr="0026089E">
              <w:rPr>
                <w:b/>
                <w:sz w:val="24"/>
                <w:szCs w:val="24"/>
              </w:rPr>
              <w:t>2019</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AKTIVA CELKEM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184 777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108 344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118 600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118 059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132 068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159 872 </w:t>
            </w:r>
          </w:p>
        </w:tc>
      </w:tr>
      <w:tr w:rsidR="007D42EF" w:rsidRPr="0026089E" w:rsidTr="007D42EF">
        <w:trPr>
          <w:trHeight w:val="379"/>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A.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1"/>
              <w:rPr>
                <w:sz w:val="24"/>
                <w:szCs w:val="24"/>
              </w:rPr>
            </w:pPr>
            <w:r w:rsidRPr="0026089E">
              <w:rPr>
                <w:sz w:val="24"/>
                <w:szCs w:val="24"/>
              </w:rPr>
              <w:t xml:space="preserve">Pohledávky za upsaný základní kapitál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B.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Dlouhodobý majetek (DM)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18 269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25 863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25 742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30 771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30 487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37 116 </w:t>
            </w:r>
          </w:p>
        </w:tc>
      </w:tr>
      <w:tr w:rsidR="007D42EF" w:rsidRPr="0026089E" w:rsidTr="007D42EF">
        <w:trPr>
          <w:trHeight w:val="377"/>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B. 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Dlouhodobý nehmotný majetek (DNHM)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45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70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75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1 056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860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B. II.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Dlouhodobý hmotný majetek (DHM)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18 224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25 793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25 667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16 039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17 170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23 645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B. III.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Dlouhodobý finanční majetek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14 707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12 261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12 611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Oběžná aktiva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163 106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79 301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88 570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80 335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92 642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115 588 </w:t>
            </w:r>
          </w:p>
        </w:tc>
      </w:tr>
      <w:tr w:rsidR="007D42EF" w:rsidRPr="0026089E" w:rsidTr="007D42EF">
        <w:trPr>
          <w:trHeight w:val="288"/>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Zásoby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25 253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21 567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14 726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6 529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16 111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17 141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1.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Materiál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354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360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356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629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314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496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2.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Nedokončená výroba a polotovary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24 194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20 502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13 665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5 900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15 767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16 645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3.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Výrobky a zboží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r>
      <w:tr w:rsidR="007D42EF" w:rsidRPr="0026089E" w:rsidTr="007D42EF">
        <w:trPr>
          <w:trHeight w:val="379"/>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4.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Mladá a ostatní zvířata a jejich skupiny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705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705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705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 5.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Poskytnuté zálohy na zásoby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30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Pohledávky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137 853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57 734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53 478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51 448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61 693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75 839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II. 1.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Dlouhodobé pohledávky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107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111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127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121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113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116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II. 2.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Krátkodobé pohledávky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127 927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53 366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53 351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51 327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61 580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75 723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III.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Krátkodobý finanční majetek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1"/>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C. IV.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Peněžní prostředky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9 819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4 257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20 366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22 358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14 838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22 608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D.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Časové rozlišení aktiv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3 024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3 180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4 288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6 953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8 939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7 168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2"/>
              <w:jc w:val="right"/>
              <w:rPr>
                <w:sz w:val="24"/>
                <w:szCs w:val="24"/>
              </w:rPr>
            </w:pPr>
            <w:r w:rsidRPr="0026089E">
              <w:rPr>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2"/>
              <w:jc w:val="right"/>
              <w:rPr>
                <w:sz w:val="24"/>
                <w:szCs w:val="24"/>
              </w:rPr>
            </w:pPr>
            <w:r w:rsidRPr="0026089E">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
              <w:jc w:val="right"/>
              <w:rPr>
                <w:sz w:val="24"/>
                <w:szCs w:val="24"/>
              </w:rPr>
            </w:pPr>
            <w:r w:rsidRPr="0026089E">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jc w:val="right"/>
              <w:rPr>
                <w:sz w:val="24"/>
                <w:szCs w:val="24"/>
              </w:rPr>
            </w:pPr>
            <w:r w:rsidRPr="0026089E">
              <w:rPr>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5"/>
              <w:jc w:val="right"/>
              <w:rPr>
                <w:sz w:val="24"/>
                <w:szCs w:val="24"/>
              </w:rPr>
            </w:pPr>
            <w:r w:rsidRPr="0026089E">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jc w:val="right"/>
              <w:rPr>
                <w:sz w:val="24"/>
                <w:szCs w:val="24"/>
              </w:rPr>
            </w:pPr>
            <w:r w:rsidRPr="0026089E">
              <w:rPr>
                <w:sz w:val="24"/>
                <w:szCs w:val="24"/>
              </w:rPr>
              <w:t xml:space="preserve">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PASIVA CELKEM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184 777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108 344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118 600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118 059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132 068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159 872 </w:t>
            </w:r>
          </w:p>
        </w:tc>
      </w:tr>
      <w:tr w:rsidR="007D42EF" w:rsidRPr="0026089E" w:rsidTr="007D42EF">
        <w:trPr>
          <w:trHeight w:val="288"/>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lastRenderedPageBreak/>
              <w:t xml:space="preserve">A.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Vlastní kapitál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45 870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47 985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49 137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63 811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left="194"/>
              <w:rPr>
                <w:sz w:val="24"/>
                <w:szCs w:val="24"/>
              </w:rPr>
            </w:pPr>
            <w:r w:rsidRPr="0026089E">
              <w:rPr>
                <w:sz w:val="24"/>
                <w:szCs w:val="24"/>
              </w:rPr>
              <w:t xml:space="preserve">68 018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78 143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A. 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Základní kapitál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1 000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1 000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1 000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2 000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2 000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0"/>
              <w:jc w:val="right"/>
              <w:rPr>
                <w:sz w:val="24"/>
                <w:szCs w:val="24"/>
              </w:rPr>
            </w:pPr>
            <w:r w:rsidRPr="0026089E">
              <w:rPr>
                <w:sz w:val="24"/>
                <w:szCs w:val="24"/>
              </w:rPr>
              <w:t xml:space="preserve">2 000 </w:t>
            </w:r>
          </w:p>
        </w:tc>
      </w:tr>
      <w:tr w:rsidR="007D42EF"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A. II. </w:t>
            </w:r>
          </w:p>
        </w:tc>
        <w:tc>
          <w:tcPr>
            <w:tcW w:w="2693"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rPr>
                <w:sz w:val="24"/>
                <w:szCs w:val="24"/>
              </w:rPr>
            </w:pPr>
            <w:r w:rsidRPr="0026089E">
              <w:rPr>
                <w:sz w:val="24"/>
                <w:szCs w:val="24"/>
              </w:rPr>
              <w:t xml:space="preserve">Ážio a kapitálové fondy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8 870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10 870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2"/>
              <w:jc w:val="right"/>
              <w:rPr>
                <w:sz w:val="24"/>
                <w:szCs w:val="24"/>
              </w:rPr>
            </w:pPr>
            <w:r w:rsidRPr="0026089E">
              <w:rPr>
                <w:sz w:val="24"/>
                <w:szCs w:val="24"/>
              </w:rPr>
              <w:t xml:space="preserve">10 870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10 870 </w:t>
            </w:r>
          </w:p>
        </w:tc>
        <w:tc>
          <w:tcPr>
            <w:tcW w:w="852"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44"/>
              <w:jc w:val="right"/>
              <w:rPr>
                <w:sz w:val="24"/>
                <w:szCs w:val="24"/>
              </w:rPr>
            </w:pPr>
            <w:r w:rsidRPr="0026089E">
              <w:rPr>
                <w:sz w:val="24"/>
                <w:szCs w:val="24"/>
              </w:rPr>
              <w:t xml:space="preserve">3 451 </w:t>
            </w:r>
          </w:p>
        </w:tc>
        <w:tc>
          <w:tcPr>
            <w:tcW w:w="850" w:type="dxa"/>
            <w:tcBorders>
              <w:top w:val="single" w:sz="4" w:space="0" w:color="000000"/>
              <w:left w:val="single" w:sz="4" w:space="0" w:color="000000"/>
              <w:bottom w:val="single" w:sz="4" w:space="0" w:color="000000"/>
              <w:right w:val="single" w:sz="4" w:space="0" w:color="000000"/>
            </w:tcBorders>
          </w:tcPr>
          <w:p w:rsidR="007D42EF" w:rsidRPr="0026089E" w:rsidRDefault="007D42EF" w:rsidP="0026089E">
            <w:pPr>
              <w:spacing w:line="259" w:lineRule="auto"/>
              <w:ind w:right="39"/>
              <w:jc w:val="right"/>
              <w:rPr>
                <w:sz w:val="24"/>
                <w:szCs w:val="24"/>
              </w:rPr>
            </w:pPr>
            <w:r w:rsidRPr="0026089E">
              <w:rPr>
                <w:sz w:val="24"/>
                <w:szCs w:val="24"/>
              </w:rPr>
              <w:t xml:space="preserve">- 52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A. III.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Fondy ze zisku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210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15 955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13 471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14 494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A. IV.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Výsledek hospodaření minulých let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35 128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35 790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35 905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21 350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37 470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44 706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A. V.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Výsledek hospodaření běžného účetního období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662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115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1 152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13 636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11 626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16 006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B. + C.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Cizí zdroje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115 730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49 628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52 830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41 513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48 234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63 634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B.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Rezervy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8 000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800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8 050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12 100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16 150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C.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Závazky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107 730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44 293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52 830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33 463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36 134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47 484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C. I.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Dlouhodobé závazky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443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455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3 866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699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80"/>
              <w:jc w:val="right"/>
              <w:rPr>
                <w:sz w:val="24"/>
                <w:szCs w:val="24"/>
              </w:rPr>
            </w:pPr>
            <w:r w:rsidRPr="0026089E">
              <w:rPr>
                <w:sz w:val="24"/>
                <w:szCs w:val="24"/>
              </w:rPr>
              <w:t xml:space="preserve">1 983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6 005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C. II.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Krátkodobé závazky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107 287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43 838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8"/>
              <w:jc w:val="right"/>
              <w:rPr>
                <w:sz w:val="24"/>
                <w:szCs w:val="24"/>
              </w:rPr>
            </w:pPr>
            <w:r w:rsidRPr="0026089E">
              <w:rPr>
                <w:sz w:val="24"/>
                <w:szCs w:val="24"/>
              </w:rPr>
              <w:t xml:space="preserve">48 964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5"/>
              <w:jc w:val="right"/>
              <w:rPr>
                <w:sz w:val="24"/>
                <w:szCs w:val="24"/>
              </w:rPr>
            </w:pPr>
            <w:r w:rsidRPr="0026089E">
              <w:rPr>
                <w:sz w:val="24"/>
                <w:szCs w:val="24"/>
              </w:rPr>
              <w:t xml:space="preserve">32 764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34 151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76"/>
              <w:jc w:val="right"/>
              <w:rPr>
                <w:sz w:val="24"/>
                <w:szCs w:val="24"/>
              </w:rPr>
            </w:pPr>
            <w:r w:rsidRPr="0026089E">
              <w:rPr>
                <w:sz w:val="24"/>
                <w:szCs w:val="24"/>
              </w:rPr>
              <w:t xml:space="preserve">41 479 </w:t>
            </w:r>
          </w:p>
        </w:tc>
      </w:tr>
      <w:tr w:rsidR="001B22DA" w:rsidRPr="0026089E" w:rsidTr="007D42EF">
        <w:trPr>
          <w:trHeight w:val="286"/>
        </w:trPr>
        <w:tc>
          <w:tcPr>
            <w:tcW w:w="110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D.  </w:t>
            </w:r>
          </w:p>
        </w:tc>
        <w:tc>
          <w:tcPr>
            <w:tcW w:w="2693"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Časové rozlišení pasiv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23 177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10 731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16 633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39"/>
              <w:jc w:val="right"/>
              <w:rPr>
                <w:sz w:val="24"/>
                <w:szCs w:val="24"/>
              </w:rPr>
            </w:pPr>
            <w:r w:rsidRPr="0026089E">
              <w:rPr>
                <w:sz w:val="24"/>
                <w:szCs w:val="24"/>
              </w:rPr>
              <w:t xml:space="preserve">12 735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194"/>
              <w:rPr>
                <w:sz w:val="24"/>
                <w:szCs w:val="24"/>
              </w:rPr>
            </w:pPr>
            <w:r w:rsidRPr="0026089E">
              <w:rPr>
                <w:sz w:val="24"/>
                <w:szCs w:val="24"/>
              </w:rPr>
              <w:t xml:space="preserve">15 816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0"/>
              <w:jc w:val="right"/>
              <w:rPr>
                <w:sz w:val="24"/>
                <w:szCs w:val="24"/>
              </w:rPr>
            </w:pPr>
            <w:r w:rsidRPr="0026089E">
              <w:rPr>
                <w:sz w:val="24"/>
                <w:szCs w:val="24"/>
              </w:rPr>
              <w:t xml:space="preserve">18 095 </w:t>
            </w:r>
          </w:p>
        </w:tc>
      </w:tr>
    </w:tbl>
    <w:p w:rsidR="007D42EF" w:rsidRPr="0026089E" w:rsidRDefault="007D42EF" w:rsidP="0026089E">
      <w:pPr>
        <w:spacing w:after="0"/>
        <w:ind w:left="-1985" w:right="9191"/>
        <w:rPr>
          <w:sz w:val="24"/>
          <w:szCs w:val="24"/>
        </w:rPr>
      </w:pPr>
    </w:p>
    <w:p w:rsidR="001B22DA" w:rsidRPr="0026089E" w:rsidRDefault="001B22DA" w:rsidP="0026089E">
      <w:pPr>
        <w:pStyle w:val="Nadpis5"/>
        <w:spacing w:after="0" w:line="259" w:lineRule="auto"/>
        <w:ind w:left="0" w:right="0" w:firstLine="0"/>
        <w:rPr>
          <w:szCs w:val="24"/>
        </w:rPr>
      </w:pPr>
      <w:r w:rsidRPr="0026089E">
        <w:rPr>
          <w:rFonts w:ascii="Calibri" w:eastAsia="Calibri" w:hAnsi="Calibri" w:cs="Calibri"/>
          <w:szCs w:val="24"/>
        </w:rPr>
        <w:t xml:space="preserve">Výkaz zisku a ztrát (vybrané položky) z let </w:t>
      </w:r>
      <w:proofErr w:type="gramStart"/>
      <w:r w:rsidRPr="0026089E">
        <w:rPr>
          <w:rFonts w:ascii="Calibri" w:eastAsia="Calibri" w:hAnsi="Calibri" w:cs="Calibri"/>
          <w:szCs w:val="24"/>
        </w:rPr>
        <w:t>201</w:t>
      </w:r>
      <w:r w:rsidR="0026089E" w:rsidRPr="0026089E">
        <w:rPr>
          <w:rFonts w:ascii="Calibri" w:eastAsia="Calibri" w:hAnsi="Calibri" w:cs="Calibri"/>
          <w:szCs w:val="24"/>
        </w:rPr>
        <w:t>4</w:t>
      </w:r>
      <w:r w:rsidRPr="0026089E">
        <w:rPr>
          <w:rFonts w:ascii="Calibri" w:eastAsia="Calibri" w:hAnsi="Calibri" w:cs="Calibri"/>
          <w:szCs w:val="24"/>
        </w:rPr>
        <w:t xml:space="preserve"> – 201</w:t>
      </w:r>
      <w:r w:rsidR="0026089E" w:rsidRPr="0026089E">
        <w:rPr>
          <w:rFonts w:ascii="Calibri" w:eastAsia="Calibri" w:hAnsi="Calibri" w:cs="Calibri"/>
          <w:szCs w:val="24"/>
        </w:rPr>
        <w:t>9</w:t>
      </w:r>
      <w:proofErr w:type="gramEnd"/>
      <w:r w:rsidRPr="0026089E">
        <w:rPr>
          <w:rFonts w:ascii="Calibri" w:eastAsia="Calibri" w:hAnsi="Calibri" w:cs="Calibri"/>
          <w:szCs w:val="24"/>
        </w:rPr>
        <w:t xml:space="preserve"> (v tis. Kč) </w:t>
      </w:r>
    </w:p>
    <w:tbl>
      <w:tblPr>
        <w:tblStyle w:val="TableGrid"/>
        <w:tblW w:w="8757" w:type="dxa"/>
        <w:tblInd w:w="-108" w:type="dxa"/>
        <w:tblCellMar>
          <w:top w:w="6" w:type="dxa"/>
          <w:left w:w="108" w:type="dxa"/>
          <w:right w:w="65" w:type="dxa"/>
        </w:tblCellMar>
        <w:tblLook w:val="04A0" w:firstRow="1" w:lastRow="0" w:firstColumn="1" w:lastColumn="0" w:noHBand="0" w:noVBand="1"/>
      </w:tblPr>
      <w:tblGrid>
        <w:gridCol w:w="816"/>
        <w:gridCol w:w="3262"/>
        <w:gridCol w:w="778"/>
        <w:gridCol w:w="780"/>
        <w:gridCol w:w="781"/>
        <w:gridCol w:w="780"/>
        <w:gridCol w:w="780"/>
        <w:gridCol w:w="780"/>
      </w:tblGrid>
      <w:tr w:rsidR="0026089E" w:rsidRPr="0026089E" w:rsidTr="0026089E">
        <w:trPr>
          <w:trHeight w:val="286"/>
        </w:trPr>
        <w:tc>
          <w:tcPr>
            <w:tcW w:w="81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roofErr w:type="spellStart"/>
            <w:r w:rsidRPr="0026089E">
              <w:rPr>
                <w:b/>
                <w:sz w:val="24"/>
                <w:szCs w:val="24"/>
              </w:rPr>
              <w:t>Ozn</w:t>
            </w:r>
            <w:proofErr w:type="spellEnd"/>
            <w:r w:rsidRPr="0026089E">
              <w:rPr>
                <w:b/>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r w:rsidRPr="0026089E">
              <w:rPr>
                <w:b/>
                <w:sz w:val="24"/>
                <w:szCs w:val="24"/>
              </w:rPr>
              <w:t xml:space="preserve">Položka ve výkazu zisku a ztrát </w:t>
            </w:r>
          </w:p>
        </w:tc>
        <w:tc>
          <w:tcPr>
            <w:tcW w:w="77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78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781"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78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78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78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1B22DA" w:rsidRPr="0026089E" w:rsidTr="0026089E">
        <w:trPr>
          <w:trHeight w:val="286"/>
        </w:trPr>
        <w:tc>
          <w:tcPr>
            <w:tcW w:w="816"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I. </w:t>
            </w:r>
          </w:p>
        </w:tc>
        <w:tc>
          <w:tcPr>
            <w:tcW w:w="326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Tržby z prodeje výrobků a služeb </w:t>
            </w:r>
          </w:p>
        </w:tc>
        <w:tc>
          <w:tcPr>
            <w:tcW w:w="778"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0"/>
              <w:jc w:val="right"/>
              <w:rPr>
                <w:sz w:val="24"/>
                <w:szCs w:val="24"/>
              </w:rPr>
            </w:pPr>
            <w:r w:rsidRPr="0026089E">
              <w:rPr>
                <w:sz w:val="24"/>
                <w:szCs w:val="24"/>
              </w:rPr>
              <w:t xml:space="preserve">615 441 </w:t>
            </w:r>
          </w:p>
        </w:tc>
        <w:tc>
          <w:tcPr>
            <w:tcW w:w="78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272 949 </w:t>
            </w:r>
          </w:p>
        </w:tc>
        <w:tc>
          <w:tcPr>
            <w:tcW w:w="781"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3"/>
              <w:jc w:val="right"/>
              <w:rPr>
                <w:sz w:val="24"/>
                <w:szCs w:val="24"/>
              </w:rPr>
            </w:pPr>
            <w:r w:rsidRPr="0026089E">
              <w:rPr>
                <w:sz w:val="24"/>
                <w:szCs w:val="24"/>
              </w:rPr>
              <w:t xml:space="preserve">409 957 </w:t>
            </w:r>
          </w:p>
        </w:tc>
        <w:tc>
          <w:tcPr>
            <w:tcW w:w="78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393 920 </w:t>
            </w:r>
          </w:p>
        </w:tc>
        <w:tc>
          <w:tcPr>
            <w:tcW w:w="78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409 767 </w:t>
            </w:r>
          </w:p>
        </w:tc>
        <w:tc>
          <w:tcPr>
            <w:tcW w:w="78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42"/>
              <w:jc w:val="right"/>
              <w:rPr>
                <w:sz w:val="24"/>
                <w:szCs w:val="24"/>
              </w:rPr>
            </w:pPr>
            <w:r w:rsidRPr="0026089E">
              <w:rPr>
                <w:sz w:val="24"/>
                <w:szCs w:val="24"/>
              </w:rPr>
              <w:t xml:space="preserve">482 586 </w:t>
            </w:r>
          </w:p>
        </w:tc>
      </w:tr>
    </w:tbl>
    <w:p w:rsidR="007D42EF" w:rsidRPr="0026089E" w:rsidRDefault="007D42EF" w:rsidP="0026089E">
      <w:pPr>
        <w:spacing w:after="0"/>
        <w:rPr>
          <w:sz w:val="24"/>
          <w:szCs w:val="24"/>
        </w:rPr>
      </w:pPr>
    </w:p>
    <w:p w:rsidR="001B22DA" w:rsidRPr="0026089E" w:rsidRDefault="001B22DA" w:rsidP="0026089E">
      <w:pPr>
        <w:spacing w:after="0"/>
        <w:rPr>
          <w:sz w:val="24"/>
          <w:szCs w:val="24"/>
        </w:rPr>
      </w:pPr>
      <w:r w:rsidRPr="0026089E">
        <w:rPr>
          <w:sz w:val="24"/>
          <w:szCs w:val="24"/>
        </w:rPr>
        <w:t>Kroky rozboru – z každé části využít alespoň jeden ukazatel, kdy vertikální a horizontální analýza je dobrovolná.</w:t>
      </w:r>
    </w:p>
    <w:p w:rsidR="001B22DA" w:rsidRPr="0026089E" w:rsidRDefault="001B22DA" w:rsidP="0026089E">
      <w:pPr>
        <w:pStyle w:val="Nadpis5"/>
        <w:spacing w:after="0"/>
        <w:ind w:left="-5" w:right="0"/>
        <w:rPr>
          <w:szCs w:val="24"/>
        </w:rPr>
      </w:pPr>
      <w:r w:rsidRPr="0026089E">
        <w:rPr>
          <w:szCs w:val="24"/>
        </w:rPr>
        <w:t xml:space="preserve">Horizontální analýza </w:t>
      </w:r>
    </w:p>
    <w:p w:rsidR="001B22DA" w:rsidRPr="0026089E" w:rsidRDefault="001B22DA" w:rsidP="0026089E">
      <w:pPr>
        <w:numPr>
          <w:ilvl w:val="0"/>
          <w:numId w:val="22"/>
        </w:numPr>
        <w:spacing w:after="0" w:line="388" w:lineRule="auto"/>
        <w:ind w:right="71" w:hanging="360"/>
        <w:jc w:val="both"/>
        <w:rPr>
          <w:sz w:val="24"/>
          <w:szCs w:val="24"/>
        </w:rPr>
      </w:pPr>
      <w:r w:rsidRPr="0026089E">
        <w:rPr>
          <w:sz w:val="24"/>
          <w:szCs w:val="24"/>
        </w:rPr>
        <w:t>Index změny = (položka rozvahy [v roce t] - položka rozvahy [v roce t – 1</w:t>
      </w:r>
      <w:proofErr w:type="gramStart"/>
      <w:r w:rsidRPr="0026089E">
        <w:rPr>
          <w:sz w:val="24"/>
          <w:szCs w:val="24"/>
        </w:rPr>
        <w:t>])/</w:t>
      </w:r>
      <w:proofErr w:type="gramEnd"/>
      <w:r w:rsidRPr="0026089E">
        <w:rPr>
          <w:sz w:val="24"/>
          <w:szCs w:val="24"/>
        </w:rPr>
        <w:t xml:space="preserve">položka rozvahy v roce t - 1 </w:t>
      </w:r>
    </w:p>
    <w:p w:rsidR="001B22DA" w:rsidRPr="0026089E" w:rsidRDefault="001B22DA" w:rsidP="0026089E">
      <w:pPr>
        <w:spacing w:after="0" w:line="261" w:lineRule="auto"/>
        <w:ind w:left="-5"/>
        <w:rPr>
          <w:sz w:val="24"/>
          <w:szCs w:val="24"/>
        </w:rPr>
      </w:pPr>
      <w:r w:rsidRPr="0026089E">
        <w:rPr>
          <w:b/>
          <w:sz w:val="24"/>
          <w:szCs w:val="24"/>
        </w:rPr>
        <w:t xml:space="preserve">Vertikální analýza </w:t>
      </w:r>
    </w:p>
    <w:p w:rsidR="001B22DA" w:rsidRPr="0026089E" w:rsidRDefault="001B22DA" w:rsidP="0026089E">
      <w:pPr>
        <w:numPr>
          <w:ilvl w:val="0"/>
          <w:numId w:val="22"/>
        </w:numPr>
        <w:spacing w:after="0"/>
        <w:ind w:right="71" w:hanging="360"/>
        <w:jc w:val="both"/>
        <w:rPr>
          <w:sz w:val="24"/>
          <w:szCs w:val="24"/>
        </w:rPr>
      </w:pPr>
      <w:r w:rsidRPr="0026089E">
        <w:rPr>
          <w:sz w:val="24"/>
          <w:szCs w:val="24"/>
        </w:rPr>
        <w:t>(položka v rozvaze*</w:t>
      </w:r>
      <w:proofErr w:type="gramStart"/>
      <w:r w:rsidRPr="0026089E">
        <w:rPr>
          <w:sz w:val="24"/>
          <w:szCs w:val="24"/>
        </w:rPr>
        <w:t>100)/</w:t>
      </w:r>
      <w:proofErr w:type="gramEnd"/>
      <w:r w:rsidRPr="0026089E">
        <w:rPr>
          <w:sz w:val="24"/>
          <w:szCs w:val="24"/>
        </w:rPr>
        <w:t xml:space="preserve">celková aktiva </w:t>
      </w:r>
    </w:p>
    <w:p w:rsidR="001B22DA" w:rsidRPr="0026089E" w:rsidRDefault="001B22DA" w:rsidP="0026089E">
      <w:pPr>
        <w:spacing w:after="0" w:line="261" w:lineRule="auto"/>
        <w:ind w:left="-5"/>
        <w:rPr>
          <w:b/>
          <w:color w:val="FF0000"/>
          <w:sz w:val="24"/>
          <w:szCs w:val="24"/>
        </w:rPr>
      </w:pPr>
      <w:r w:rsidRPr="0026089E">
        <w:rPr>
          <w:b/>
          <w:color w:val="FF0000"/>
          <w:sz w:val="24"/>
          <w:szCs w:val="24"/>
        </w:rPr>
        <w:t>Porovnáme změny v položkách.</w:t>
      </w:r>
    </w:p>
    <w:p w:rsidR="001B22DA" w:rsidRPr="0026089E" w:rsidRDefault="001B22DA" w:rsidP="0026089E">
      <w:pPr>
        <w:pStyle w:val="Nadpis7"/>
        <w:spacing w:after="0"/>
        <w:jc w:val="center"/>
        <w:rPr>
          <w:szCs w:val="24"/>
        </w:rPr>
      </w:pPr>
      <w:r w:rsidRPr="0026089E">
        <w:rPr>
          <w:szCs w:val="24"/>
        </w:rPr>
        <w:t>Bilanční pravidla</w:t>
      </w:r>
    </w:p>
    <w:p w:rsidR="001B22DA" w:rsidRPr="0026089E" w:rsidRDefault="001B22DA" w:rsidP="0026089E">
      <w:pPr>
        <w:pStyle w:val="Nadpis5"/>
        <w:spacing w:after="0"/>
        <w:ind w:right="0"/>
        <w:rPr>
          <w:szCs w:val="24"/>
        </w:rPr>
      </w:pPr>
      <w:r w:rsidRPr="0026089E">
        <w:rPr>
          <w:szCs w:val="24"/>
        </w:rPr>
        <w:t xml:space="preserve">Zlaté pravidlo financování </w:t>
      </w:r>
    </w:p>
    <w:p w:rsidR="001B22DA" w:rsidRPr="0026089E" w:rsidRDefault="001B22DA" w:rsidP="0026089E">
      <w:pPr>
        <w:pStyle w:val="Odstavecseseznamem"/>
        <w:numPr>
          <w:ilvl w:val="0"/>
          <w:numId w:val="31"/>
        </w:numPr>
        <w:spacing w:after="0"/>
        <w:ind w:right="71"/>
        <w:jc w:val="both"/>
        <w:rPr>
          <w:sz w:val="24"/>
          <w:szCs w:val="24"/>
        </w:rPr>
      </w:pPr>
      <w:r w:rsidRPr="0026089E">
        <w:rPr>
          <w:i/>
          <w:sz w:val="24"/>
          <w:szCs w:val="24"/>
        </w:rPr>
        <w:t>Poměr dlouhodobého majetku a dlouhodobého kapitálu</w:t>
      </w:r>
      <w:r w:rsidRPr="0026089E">
        <w:rPr>
          <w:sz w:val="24"/>
          <w:szCs w:val="24"/>
        </w:rPr>
        <w:t xml:space="preserve"> = Dlouhodobý majetek</w:t>
      </w:r>
      <w:proofErr w:type="gramStart"/>
      <w:r w:rsidRPr="0026089E">
        <w:rPr>
          <w:sz w:val="24"/>
          <w:szCs w:val="24"/>
        </w:rPr>
        <w:t>/(</w:t>
      </w:r>
      <w:proofErr w:type="gramEnd"/>
      <w:r w:rsidRPr="0026089E">
        <w:rPr>
          <w:sz w:val="24"/>
          <w:szCs w:val="24"/>
        </w:rPr>
        <w:t xml:space="preserve">Vlastní kapitál + Rezervy + Dlouhodobé závazky + Bankovní úvěry dlouhodobé) </w:t>
      </w:r>
    </w:p>
    <w:p w:rsidR="001B22DA" w:rsidRPr="0026089E" w:rsidRDefault="001B22DA" w:rsidP="0026089E">
      <w:pPr>
        <w:pStyle w:val="Odstavecseseznamem"/>
        <w:numPr>
          <w:ilvl w:val="0"/>
          <w:numId w:val="31"/>
        </w:numPr>
        <w:spacing w:after="0"/>
        <w:ind w:right="71"/>
        <w:jc w:val="both"/>
        <w:rPr>
          <w:sz w:val="24"/>
          <w:szCs w:val="24"/>
        </w:rPr>
      </w:pPr>
      <w:r w:rsidRPr="0026089E">
        <w:rPr>
          <w:i/>
          <w:sz w:val="24"/>
          <w:szCs w:val="24"/>
        </w:rPr>
        <w:lastRenderedPageBreak/>
        <w:t>Poměr oběžných aktiv a krátkodobého kapitálu</w:t>
      </w:r>
      <w:r w:rsidRPr="0026089E">
        <w:rPr>
          <w:sz w:val="24"/>
          <w:szCs w:val="24"/>
        </w:rPr>
        <w:t xml:space="preserve"> = Oběžná aktiva</w:t>
      </w:r>
      <w:proofErr w:type="gramStart"/>
      <w:r w:rsidRPr="0026089E">
        <w:rPr>
          <w:sz w:val="24"/>
          <w:szCs w:val="24"/>
        </w:rPr>
        <w:t>/(</w:t>
      </w:r>
      <w:proofErr w:type="gramEnd"/>
      <w:r w:rsidRPr="0026089E">
        <w:rPr>
          <w:sz w:val="24"/>
          <w:szCs w:val="24"/>
        </w:rPr>
        <w:t xml:space="preserve">Krátkodobé závazky + Krátkodobé bankovní úvěry + Krátkodobé bankovní výpomoci) </w:t>
      </w:r>
    </w:p>
    <w:p w:rsidR="001B22DA" w:rsidRPr="0026089E" w:rsidRDefault="001B22DA" w:rsidP="0026089E">
      <w:pPr>
        <w:spacing w:after="0"/>
        <w:ind w:left="730" w:right="71"/>
        <w:rPr>
          <w:sz w:val="24"/>
          <w:szCs w:val="24"/>
        </w:rPr>
      </w:pPr>
    </w:p>
    <w:tbl>
      <w:tblPr>
        <w:tblStyle w:val="TableGrid"/>
        <w:tblW w:w="8721" w:type="dxa"/>
        <w:tblInd w:w="-108" w:type="dxa"/>
        <w:tblCellMar>
          <w:top w:w="7" w:type="dxa"/>
          <w:left w:w="108" w:type="dxa"/>
          <w:right w:w="48" w:type="dxa"/>
        </w:tblCellMar>
        <w:tblLook w:val="04A0" w:firstRow="1" w:lastRow="0" w:firstColumn="1" w:lastColumn="0" w:noHBand="0" w:noVBand="1"/>
      </w:tblPr>
      <w:tblGrid>
        <w:gridCol w:w="3081"/>
        <w:gridCol w:w="993"/>
        <w:gridCol w:w="994"/>
        <w:gridCol w:w="991"/>
        <w:gridCol w:w="850"/>
        <w:gridCol w:w="856"/>
        <w:gridCol w:w="956"/>
      </w:tblGrid>
      <w:tr w:rsidR="0026089E" w:rsidRPr="0026089E" w:rsidTr="0026089E">
        <w:trPr>
          <w:trHeight w:val="389"/>
        </w:trPr>
        <w:tc>
          <w:tcPr>
            <w:tcW w:w="3084"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994"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991"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85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85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95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1B22DA" w:rsidRPr="0026089E" w:rsidTr="0026089E">
        <w:trPr>
          <w:trHeight w:val="389"/>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Dlouhodobý majetek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18 269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25 863 </w:t>
            </w:r>
          </w:p>
        </w:tc>
        <w:tc>
          <w:tcPr>
            <w:tcW w:w="991"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25 742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9"/>
              <w:rPr>
                <w:sz w:val="24"/>
                <w:szCs w:val="24"/>
              </w:rPr>
            </w:pPr>
            <w:r w:rsidRPr="0026089E">
              <w:rPr>
                <w:sz w:val="24"/>
                <w:szCs w:val="24"/>
              </w:rPr>
              <w:t xml:space="preserve">30 771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31"/>
              <w:rPr>
                <w:sz w:val="24"/>
                <w:szCs w:val="24"/>
              </w:rPr>
            </w:pPr>
            <w:r w:rsidRPr="0026089E">
              <w:rPr>
                <w:sz w:val="24"/>
                <w:szCs w:val="24"/>
              </w:rPr>
              <w:t xml:space="preserve">30 487 </w:t>
            </w:r>
          </w:p>
        </w:tc>
        <w:tc>
          <w:tcPr>
            <w:tcW w:w="956"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37 116 </w:t>
            </w:r>
          </w:p>
        </w:tc>
      </w:tr>
      <w:tr w:rsidR="001B22DA" w:rsidRPr="0026089E" w:rsidTr="0026089E">
        <w:trPr>
          <w:trHeight w:val="391"/>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Dlouhodobý kapitál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54 313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49 240 </w:t>
            </w:r>
          </w:p>
        </w:tc>
        <w:tc>
          <w:tcPr>
            <w:tcW w:w="991"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53 003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9"/>
              <w:rPr>
                <w:sz w:val="24"/>
                <w:szCs w:val="24"/>
              </w:rPr>
            </w:pPr>
            <w:r w:rsidRPr="0026089E">
              <w:rPr>
                <w:sz w:val="24"/>
                <w:szCs w:val="24"/>
              </w:rPr>
              <w:t xml:space="preserve">72 560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31"/>
              <w:rPr>
                <w:sz w:val="24"/>
                <w:szCs w:val="24"/>
              </w:rPr>
            </w:pPr>
            <w:r w:rsidRPr="0026089E">
              <w:rPr>
                <w:sz w:val="24"/>
                <w:szCs w:val="24"/>
              </w:rPr>
              <w:t xml:space="preserve">82 101 </w:t>
            </w:r>
          </w:p>
        </w:tc>
        <w:tc>
          <w:tcPr>
            <w:tcW w:w="956"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4"/>
              <w:rPr>
                <w:sz w:val="24"/>
                <w:szCs w:val="24"/>
              </w:rPr>
            </w:pPr>
            <w:r w:rsidRPr="0026089E">
              <w:rPr>
                <w:sz w:val="24"/>
                <w:szCs w:val="24"/>
              </w:rPr>
              <w:t xml:space="preserve">100 298 </w:t>
            </w:r>
          </w:p>
        </w:tc>
      </w:tr>
      <w:tr w:rsidR="001B22DA" w:rsidRPr="0026089E" w:rsidTr="0026089E">
        <w:trPr>
          <w:trHeight w:val="768"/>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0"/>
              <w:rPr>
                <w:sz w:val="24"/>
                <w:szCs w:val="24"/>
              </w:rPr>
            </w:pPr>
            <w:r w:rsidRPr="0026089E">
              <w:rPr>
                <w:b/>
                <w:sz w:val="24"/>
                <w:szCs w:val="24"/>
              </w:rPr>
              <w:t xml:space="preserve">Podíl dlouhodobého majetku a dlouhodobého kapitálu </w:t>
            </w:r>
          </w:p>
        </w:tc>
        <w:tc>
          <w:tcPr>
            <w:tcW w:w="994"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0,336 </w:t>
            </w:r>
          </w:p>
        </w:tc>
        <w:tc>
          <w:tcPr>
            <w:tcW w:w="994"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0,524 </w:t>
            </w:r>
          </w:p>
        </w:tc>
        <w:tc>
          <w:tcPr>
            <w:tcW w:w="991"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0,484 </w:t>
            </w:r>
          </w:p>
        </w:tc>
        <w:tc>
          <w:tcPr>
            <w:tcW w:w="850"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0,221 </w:t>
            </w:r>
          </w:p>
        </w:tc>
        <w:tc>
          <w:tcPr>
            <w:tcW w:w="852"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0,209 </w:t>
            </w:r>
          </w:p>
        </w:tc>
        <w:tc>
          <w:tcPr>
            <w:tcW w:w="956"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58"/>
              <w:jc w:val="right"/>
              <w:rPr>
                <w:sz w:val="24"/>
                <w:szCs w:val="24"/>
              </w:rPr>
            </w:pPr>
            <w:r w:rsidRPr="0026089E">
              <w:rPr>
                <w:sz w:val="24"/>
                <w:szCs w:val="24"/>
              </w:rPr>
              <w:t xml:space="preserve">0,236 </w:t>
            </w:r>
          </w:p>
        </w:tc>
      </w:tr>
      <w:tr w:rsidR="001B22DA" w:rsidRPr="0026089E" w:rsidTr="0026089E">
        <w:trPr>
          <w:trHeight w:val="389"/>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Oběžná aktiva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62"/>
              <w:rPr>
                <w:sz w:val="24"/>
                <w:szCs w:val="24"/>
              </w:rPr>
            </w:pPr>
            <w:r w:rsidRPr="0026089E">
              <w:rPr>
                <w:sz w:val="24"/>
                <w:szCs w:val="24"/>
              </w:rPr>
              <w:t xml:space="preserve">163 106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79 301 </w:t>
            </w:r>
          </w:p>
        </w:tc>
        <w:tc>
          <w:tcPr>
            <w:tcW w:w="991"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88 570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9"/>
              <w:rPr>
                <w:sz w:val="24"/>
                <w:szCs w:val="24"/>
              </w:rPr>
            </w:pPr>
            <w:r w:rsidRPr="0026089E">
              <w:rPr>
                <w:sz w:val="24"/>
                <w:szCs w:val="24"/>
              </w:rPr>
              <w:t xml:space="preserve">80 335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31"/>
              <w:rPr>
                <w:sz w:val="24"/>
                <w:szCs w:val="24"/>
              </w:rPr>
            </w:pPr>
            <w:r w:rsidRPr="0026089E">
              <w:rPr>
                <w:sz w:val="24"/>
                <w:szCs w:val="24"/>
              </w:rPr>
              <w:t xml:space="preserve">92 642 </w:t>
            </w:r>
          </w:p>
        </w:tc>
        <w:tc>
          <w:tcPr>
            <w:tcW w:w="956"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4"/>
              <w:rPr>
                <w:sz w:val="24"/>
                <w:szCs w:val="24"/>
              </w:rPr>
            </w:pPr>
            <w:r w:rsidRPr="0026089E">
              <w:rPr>
                <w:sz w:val="24"/>
                <w:szCs w:val="24"/>
              </w:rPr>
              <w:t xml:space="preserve">115 588 </w:t>
            </w:r>
          </w:p>
        </w:tc>
      </w:tr>
      <w:tr w:rsidR="001B22DA" w:rsidRPr="0026089E" w:rsidTr="0026089E">
        <w:trPr>
          <w:trHeight w:val="392"/>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sz w:val="24"/>
                <w:szCs w:val="24"/>
              </w:rPr>
              <w:t xml:space="preserve">Krátkodobý kapitál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62"/>
              <w:rPr>
                <w:sz w:val="24"/>
                <w:szCs w:val="24"/>
              </w:rPr>
            </w:pPr>
            <w:r w:rsidRPr="0026089E">
              <w:rPr>
                <w:sz w:val="24"/>
                <w:szCs w:val="24"/>
              </w:rPr>
              <w:t xml:space="preserve">107 287 </w:t>
            </w:r>
          </w:p>
        </w:tc>
        <w:tc>
          <w:tcPr>
            <w:tcW w:w="99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43 838 </w:t>
            </w:r>
          </w:p>
        </w:tc>
        <w:tc>
          <w:tcPr>
            <w:tcW w:w="991"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48 964 </w:t>
            </w:r>
          </w:p>
        </w:tc>
        <w:tc>
          <w:tcPr>
            <w:tcW w:w="850"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29"/>
              <w:rPr>
                <w:sz w:val="24"/>
                <w:szCs w:val="24"/>
              </w:rPr>
            </w:pPr>
            <w:r w:rsidRPr="0026089E">
              <w:rPr>
                <w:sz w:val="24"/>
                <w:szCs w:val="24"/>
              </w:rPr>
              <w:t xml:space="preserve">34 151 </w:t>
            </w:r>
          </w:p>
        </w:tc>
        <w:tc>
          <w:tcPr>
            <w:tcW w:w="852"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left="31"/>
              <w:rPr>
                <w:sz w:val="24"/>
                <w:szCs w:val="24"/>
              </w:rPr>
            </w:pPr>
            <w:r w:rsidRPr="0026089E">
              <w:rPr>
                <w:sz w:val="24"/>
                <w:szCs w:val="24"/>
              </w:rPr>
              <w:t xml:space="preserve">34 151 </w:t>
            </w:r>
          </w:p>
        </w:tc>
        <w:tc>
          <w:tcPr>
            <w:tcW w:w="956"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ind w:right="58"/>
              <w:jc w:val="right"/>
              <w:rPr>
                <w:sz w:val="24"/>
                <w:szCs w:val="24"/>
              </w:rPr>
            </w:pPr>
            <w:r w:rsidRPr="0026089E">
              <w:rPr>
                <w:sz w:val="24"/>
                <w:szCs w:val="24"/>
              </w:rPr>
              <w:t xml:space="preserve">41 479 </w:t>
            </w:r>
          </w:p>
        </w:tc>
      </w:tr>
      <w:tr w:rsidR="001B22DA" w:rsidRPr="0026089E" w:rsidTr="0026089E">
        <w:trPr>
          <w:trHeight w:val="768"/>
        </w:trPr>
        <w:tc>
          <w:tcPr>
            <w:tcW w:w="3084" w:type="dxa"/>
            <w:tcBorders>
              <w:top w:val="single" w:sz="4" w:space="0" w:color="000000"/>
              <w:left w:val="single" w:sz="4" w:space="0" w:color="000000"/>
              <w:bottom w:val="single" w:sz="4" w:space="0" w:color="000000"/>
              <w:right w:val="single" w:sz="4" w:space="0" w:color="000000"/>
            </w:tcBorders>
          </w:tcPr>
          <w:p w:rsidR="001B22DA" w:rsidRPr="0026089E" w:rsidRDefault="001B22DA" w:rsidP="0026089E">
            <w:pPr>
              <w:spacing w:line="259" w:lineRule="auto"/>
              <w:rPr>
                <w:sz w:val="24"/>
                <w:szCs w:val="24"/>
              </w:rPr>
            </w:pPr>
            <w:r w:rsidRPr="0026089E">
              <w:rPr>
                <w:b/>
                <w:sz w:val="24"/>
                <w:szCs w:val="24"/>
              </w:rPr>
              <w:t xml:space="preserve">Podíl oběžných aktiv a krátkodobého kapitálu </w:t>
            </w:r>
          </w:p>
        </w:tc>
        <w:tc>
          <w:tcPr>
            <w:tcW w:w="994"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60"/>
              <w:jc w:val="right"/>
              <w:rPr>
                <w:sz w:val="24"/>
                <w:szCs w:val="24"/>
              </w:rPr>
            </w:pPr>
            <w:r w:rsidRPr="0026089E">
              <w:rPr>
                <w:sz w:val="24"/>
                <w:szCs w:val="24"/>
              </w:rPr>
              <w:t xml:space="preserve">1,520 </w:t>
            </w:r>
          </w:p>
        </w:tc>
        <w:tc>
          <w:tcPr>
            <w:tcW w:w="994"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60"/>
              <w:jc w:val="right"/>
              <w:rPr>
                <w:sz w:val="24"/>
                <w:szCs w:val="24"/>
              </w:rPr>
            </w:pPr>
            <w:r w:rsidRPr="0026089E">
              <w:rPr>
                <w:sz w:val="24"/>
                <w:szCs w:val="24"/>
              </w:rPr>
              <w:t xml:space="preserve">1,809 </w:t>
            </w:r>
          </w:p>
        </w:tc>
        <w:tc>
          <w:tcPr>
            <w:tcW w:w="991"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60"/>
              <w:jc w:val="right"/>
              <w:rPr>
                <w:sz w:val="24"/>
                <w:szCs w:val="24"/>
              </w:rPr>
            </w:pPr>
            <w:r w:rsidRPr="0026089E">
              <w:rPr>
                <w:sz w:val="24"/>
                <w:szCs w:val="24"/>
              </w:rPr>
              <w:t xml:space="preserve">1,809 </w:t>
            </w:r>
          </w:p>
        </w:tc>
        <w:tc>
          <w:tcPr>
            <w:tcW w:w="850"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61"/>
              <w:jc w:val="right"/>
              <w:rPr>
                <w:sz w:val="24"/>
                <w:szCs w:val="24"/>
              </w:rPr>
            </w:pPr>
            <w:r w:rsidRPr="0026089E">
              <w:rPr>
                <w:sz w:val="24"/>
                <w:szCs w:val="24"/>
              </w:rPr>
              <w:t xml:space="preserve">2,452 </w:t>
            </w:r>
          </w:p>
        </w:tc>
        <w:tc>
          <w:tcPr>
            <w:tcW w:w="852"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left="31"/>
              <w:rPr>
                <w:sz w:val="24"/>
                <w:szCs w:val="24"/>
              </w:rPr>
            </w:pPr>
            <w:r w:rsidRPr="0026089E">
              <w:rPr>
                <w:sz w:val="24"/>
                <w:szCs w:val="24"/>
              </w:rPr>
              <w:t xml:space="preserve">2,7127 </w:t>
            </w:r>
          </w:p>
        </w:tc>
        <w:tc>
          <w:tcPr>
            <w:tcW w:w="956" w:type="dxa"/>
            <w:tcBorders>
              <w:top w:val="single" w:sz="4" w:space="0" w:color="000000"/>
              <w:left w:val="single" w:sz="4" w:space="0" w:color="000000"/>
              <w:bottom w:val="single" w:sz="4" w:space="0" w:color="000000"/>
              <w:right w:val="single" w:sz="4" w:space="0" w:color="000000"/>
            </w:tcBorders>
            <w:vAlign w:val="center"/>
          </w:tcPr>
          <w:p w:rsidR="001B22DA" w:rsidRPr="0026089E" w:rsidRDefault="001B22DA" w:rsidP="0026089E">
            <w:pPr>
              <w:spacing w:line="259" w:lineRule="auto"/>
              <w:ind w:right="60"/>
              <w:jc w:val="right"/>
              <w:rPr>
                <w:sz w:val="24"/>
                <w:szCs w:val="24"/>
              </w:rPr>
            </w:pPr>
            <w:r w:rsidRPr="0026089E">
              <w:rPr>
                <w:sz w:val="24"/>
                <w:szCs w:val="24"/>
              </w:rPr>
              <w:t xml:space="preserve">2,787 </w:t>
            </w:r>
          </w:p>
        </w:tc>
      </w:tr>
    </w:tbl>
    <w:p w:rsidR="001B22DA" w:rsidRPr="0026089E" w:rsidRDefault="001B22DA" w:rsidP="0026089E">
      <w:pPr>
        <w:spacing w:after="0"/>
        <w:ind w:left="730" w:right="71"/>
        <w:rPr>
          <w:sz w:val="24"/>
          <w:szCs w:val="24"/>
        </w:rPr>
      </w:pPr>
    </w:p>
    <w:p w:rsidR="001B22DA" w:rsidRPr="0026089E" w:rsidRDefault="001B22DA" w:rsidP="0026089E">
      <w:pPr>
        <w:spacing w:after="0"/>
        <w:ind w:right="71"/>
        <w:rPr>
          <w:sz w:val="24"/>
          <w:szCs w:val="24"/>
        </w:rPr>
      </w:pPr>
      <w:r w:rsidRPr="0026089E">
        <w:rPr>
          <w:sz w:val="24"/>
          <w:szCs w:val="24"/>
        </w:rPr>
        <w:t>Zlaté bilanční pravidlo financování, které hlídá časový soulad aktiv a pasiv podniku, se nepodařilo ve sledovaném období dodržet.</w:t>
      </w:r>
    </w:p>
    <w:p w:rsidR="001B22DA" w:rsidRPr="0026089E" w:rsidRDefault="001B22DA" w:rsidP="0026089E">
      <w:pPr>
        <w:spacing w:after="0"/>
        <w:ind w:right="71"/>
        <w:rPr>
          <w:sz w:val="24"/>
          <w:szCs w:val="24"/>
        </w:rPr>
      </w:pPr>
    </w:p>
    <w:p w:rsidR="001B22DA" w:rsidRPr="0026089E" w:rsidRDefault="001B22DA" w:rsidP="0026089E">
      <w:pPr>
        <w:spacing w:after="0" w:line="261" w:lineRule="auto"/>
        <w:rPr>
          <w:sz w:val="24"/>
          <w:szCs w:val="24"/>
        </w:rPr>
      </w:pPr>
      <w:r w:rsidRPr="0026089E">
        <w:rPr>
          <w:b/>
          <w:sz w:val="24"/>
          <w:szCs w:val="24"/>
        </w:rPr>
        <w:t xml:space="preserve">Pravidlo vyrovnání </w:t>
      </w:r>
      <w:proofErr w:type="gramStart"/>
      <w:r w:rsidRPr="0026089E">
        <w:rPr>
          <w:b/>
          <w:sz w:val="24"/>
          <w:szCs w:val="24"/>
        </w:rPr>
        <w:t>rizika</w:t>
      </w:r>
      <w:proofErr w:type="gramEnd"/>
      <w:r w:rsidRPr="0026089E">
        <w:rPr>
          <w:b/>
          <w:sz w:val="24"/>
          <w:szCs w:val="24"/>
        </w:rPr>
        <w:t xml:space="preserve"> </w:t>
      </w:r>
      <w:r w:rsidRPr="0026089E">
        <w:rPr>
          <w:sz w:val="24"/>
          <w:szCs w:val="24"/>
        </w:rPr>
        <w:t>jež tvrdí, že cizí zdroje by neměly převažovat nad zdroji vlastními</w:t>
      </w:r>
      <w:r w:rsidRPr="0026089E">
        <w:rPr>
          <w:sz w:val="24"/>
          <w:szCs w:val="24"/>
        </w:rPr>
        <w:t>.</w:t>
      </w:r>
    </w:p>
    <w:p w:rsidR="001B22DA" w:rsidRPr="0026089E" w:rsidRDefault="001B22DA" w:rsidP="0026089E">
      <w:pPr>
        <w:spacing w:after="0"/>
        <w:ind w:left="730" w:right="66"/>
        <w:rPr>
          <w:sz w:val="24"/>
          <w:szCs w:val="24"/>
        </w:rPr>
      </w:pPr>
      <w:r w:rsidRPr="0026089E">
        <w:rPr>
          <w:i/>
          <w:sz w:val="24"/>
          <w:szCs w:val="24"/>
        </w:rPr>
        <w:t>Poměr vlastních a cizích zdrojů</w:t>
      </w:r>
      <w:r w:rsidRPr="0026089E">
        <w:rPr>
          <w:sz w:val="24"/>
          <w:szCs w:val="24"/>
        </w:rPr>
        <w:t xml:space="preserve"> = Vlastní kapitál / Cizí kapitál </w:t>
      </w:r>
    </w:p>
    <w:tbl>
      <w:tblPr>
        <w:tblStyle w:val="TableGrid"/>
        <w:tblW w:w="8721" w:type="dxa"/>
        <w:tblInd w:w="-108" w:type="dxa"/>
        <w:tblCellMar>
          <w:top w:w="7" w:type="dxa"/>
          <w:left w:w="108" w:type="dxa"/>
          <w:right w:w="53" w:type="dxa"/>
        </w:tblCellMar>
        <w:tblLook w:val="04A0" w:firstRow="1" w:lastRow="0" w:firstColumn="1" w:lastColumn="0" w:noHBand="0" w:noVBand="1"/>
      </w:tblPr>
      <w:tblGrid>
        <w:gridCol w:w="3085"/>
        <w:gridCol w:w="941"/>
        <w:gridCol w:w="938"/>
        <w:gridCol w:w="938"/>
        <w:gridCol w:w="939"/>
        <w:gridCol w:w="941"/>
        <w:gridCol w:w="939"/>
      </w:tblGrid>
      <w:tr w:rsidR="00891596" w:rsidRPr="0026089E" w:rsidTr="00C029B9">
        <w:trPr>
          <w:trHeight w:val="391"/>
        </w:trPr>
        <w:tc>
          <w:tcPr>
            <w:tcW w:w="3085"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1"/>
              <w:jc w:val="center"/>
              <w:rPr>
                <w:sz w:val="24"/>
                <w:szCs w:val="24"/>
              </w:rPr>
            </w:pPr>
            <w:r w:rsidRPr="0026089E">
              <w:rPr>
                <w:b/>
                <w:sz w:val="24"/>
                <w:szCs w:val="24"/>
              </w:rPr>
              <w:t xml:space="preserve">2011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center"/>
              <w:rPr>
                <w:sz w:val="24"/>
                <w:szCs w:val="24"/>
              </w:rPr>
            </w:pPr>
            <w:r w:rsidRPr="0026089E">
              <w:rPr>
                <w:b/>
                <w:sz w:val="24"/>
                <w:szCs w:val="24"/>
              </w:rPr>
              <w:t xml:space="preserve">2012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center"/>
              <w:rPr>
                <w:sz w:val="24"/>
                <w:szCs w:val="24"/>
              </w:rPr>
            </w:pPr>
            <w:r w:rsidRPr="0026089E">
              <w:rPr>
                <w:b/>
                <w:sz w:val="24"/>
                <w:szCs w:val="24"/>
              </w:rPr>
              <w:t xml:space="preserve">2013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center"/>
              <w:rPr>
                <w:sz w:val="24"/>
                <w:szCs w:val="24"/>
              </w:rPr>
            </w:pPr>
            <w:r w:rsidRPr="0026089E">
              <w:rPr>
                <w:b/>
                <w:sz w:val="24"/>
                <w:szCs w:val="24"/>
              </w:rPr>
              <w:t xml:space="preserve">2014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center"/>
              <w:rPr>
                <w:sz w:val="24"/>
                <w:szCs w:val="24"/>
              </w:rPr>
            </w:pPr>
            <w:r w:rsidRPr="0026089E">
              <w:rPr>
                <w:b/>
                <w:sz w:val="24"/>
                <w:szCs w:val="24"/>
              </w:rPr>
              <w:t xml:space="preserve">2015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center"/>
              <w:rPr>
                <w:sz w:val="24"/>
                <w:szCs w:val="24"/>
              </w:rPr>
            </w:pPr>
            <w:r w:rsidRPr="0026089E">
              <w:rPr>
                <w:b/>
                <w:sz w:val="24"/>
                <w:szCs w:val="24"/>
              </w:rPr>
              <w:t xml:space="preserve">2016 </w:t>
            </w:r>
          </w:p>
        </w:tc>
      </w:tr>
      <w:tr w:rsidR="00891596" w:rsidRPr="0026089E" w:rsidTr="00C029B9">
        <w:trPr>
          <w:trHeight w:val="389"/>
        </w:trPr>
        <w:tc>
          <w:tcPr>
            <w:tcW w:w="3085"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sz w:val="24"/>
                <w:szCs w:val="24"/>
              </w:rPr>
              <w:t xml:space="preserve">Vlastní kapitál (v tis. Kč)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45 870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47 985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49 137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63 811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68 018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78 143 </w:t>
            </w:r>
          </w:p>
        </w:tc>
      </w:tr>
      <w:tr w:rsidR="00891596" w:rsidRPr="0026089E" w:rsidTr="00C029B9">
        <w:trPr>
          <w:trHeight w:val="389"/>
        </w:trPr>
        <w:tc>
          <w:tcPr>
            <w:tcW w:w="3085"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sz w:val="24"/>
                <w:szCs w:val="24"/>
              </w:rPr>
              <w:t xml:space="preserve">Cizí kapitál (v tis. Kč)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sz w:val="24"/>
                <w:szCs w:val="24"/>
              </w:rPr>
              <w:t xml:space="preserve">115 730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49 628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52 830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41 513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48 234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63 634 </w:t>
            </w:r>
          </w:p>
        </w:tc>
      </w:tr>
      <w:tr w:rsidR="00891596" w:rsidRPr="0026089E" w:rsidTr="00C029B9">
        <w:trPr>
          <w:trHeight w:val="391"/>
        </w:trPr>
        <w:tc>
          <w:tcPr>
            <w:tcW w:w="3085"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Poměr vlastního a cizího kap.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0,396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0,967 </w:t>
            </w:r>
          </w:p>
        </w:tc>
        <w:tc>
          <w:tcPr>
            <w:tcW w:w="93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0,930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1,537 </w:t>
            </w:r>
          </w:p>
        </w:tc>
        <w:tc>
          <w:tcPr>
            <w:tcW w:w="94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1,410 </w:t>
            </w:r>
          </w:p>
        </w:tc>
        <w:tc>
          <w:tcPr>
            <w:tcW w:w="939"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1,228 </w:t>
            </w:r>
          </w:p>
        </w:tc>
      </w:tr>
    </w:tbl>
    <w:p w:rsidR="001B22DA" w:rsidRPr="0026089E" w:rsidRDefault="001B22DA" w:rsidP="0026089E">
      <w:pPr>
        <w:spacing w:after="0"/>
        <w:ind w:left="730" w:right="66"/>
        <w:rPr>
          <w:sz w:val="24"/>
          <w:szCs w:val="24"/>
        </w:rPr>
      </w:pPr>
    </w:p>
    <w:p w:rsidR="001B22DA" w:rsidRPr="0026089E" w:rsidRDefault="001B22DA" w:rsidP="0026089E">
      <w:pPr>
        <w:spacing w:after="0"/>
        <w:ind w:left="730" w:right="71"/>
        <w:rPr>
          <w:sz w:val="24"/>
          <w:szCs w:val="24"/>
        </w:rPr>
      </w:pPr>
      <w:r w:rsidRPr="0026089E">
        <w:rPr>
          <w:sz w:val="24"/>
          <w:szCs w:val="24"/>
        </w:rPr>
        <w:t xml:space="preserve"> </w:t>
      </w:r>
    </w:p>
    <w:p w:rsidR="001B22DA" w:rsidRPr="0026089E" w:rsidRDefault="001B22DA" w:rsidP="0026089E">
      <w:pPr>
        <w:pStyle w:val="Nadpis6"/>
        <w:spacing w:after="0"/>
        <w:jc w:val="center"/>
        <w:rPr>
          <w:szCs w:val="24"/>
        </w:rPr>
      </w:pPr>
      <w:r w:rsidRPr="0026089E">
        <w:rPr>
          <w:szCs w:val="24"/>
        </w:rPr>
        <w:t>Ukazatele aktivity podniku</w:t>
      </w:r>
    </w:p>
    <w:p w:rsidR="001B22DA" w:rsidRPr="0026089E" w:rsidRDefault="001B22DA" w:rsidP="0026089E">
      <w:pPr>
        <w:numPr>
          <w:ilvl w:val="0"/>
          <w:numId w:val="23"/>
        </w:numPr>
        <w:spacing w:after="0" w:line="388" w:lineRule="auto"/>
        <w:ind w:right="71" w:hanging="360"/>
        <w:jc w:val="both"/>
        <w:rPr>
          <w:sz w:val="24"/>
          <w:szCs w:val="24"/>
        </w:rPr>
      </w:pPr>
      <w:r w:rsidRPr="0026089E">
        <w:rPr>
          <w:i/>
          <w:sz w:val="24"/>
          <w:szCs w:val="24"/>
        </w:rPr>
        <w:t>Obrat aktiv</w:t>
      </w:r>
      <w:r w:rsidRPr="0026089E">
        <w:rPr>
          <w:sz w:val="24"/>
          <w:szCs w:val="24"/>
        </w:rPr>
        <w:t xml:space="preserve"> = (Tržby za prodej zboží + Tržby za prodej vlastních výrobků a </w:t>
      </w:r>
      <w:proofErr w:type="gramStart"/>
      <w:r w:rsidRPr="0026089E">
        <w:rPr>
          <w:sz w:val="24"/>
          <w:szCs w:val="24"/>
        </w:rPr>
        <w:t>služeb)/</w:t>
      </w:r>
      <w:proofErr w:type="gramEnd"/>
      <w:r w:rsidRPr="0026089E">
        <w:rPr>
          <w:sz w:val="24"/>
          <w:szCs w:val="24"/>
        </w:rPr>
        <w:t xml:space="preserve">Aktiva </w:t>
      </w:r>
    </w:p>
    <w:p w:rsidR="001B22DA" w:rsidRPr="0026089E" w:rsidRDefault="001B22DA" w:rsidP="0026089E">
      <w:pPr>
        <w:numPr>
          <w:ilvl w:val="0"/>
          <w:numId w:val="23"/>
        </w:numPr>
        <w:spacing w:after="0" w:line="388" w:lineRule="auto"/>
        <w:ind w:right="71" w:hanging="360"/>
        <w:jc w:val="both"/>
        <w:rPr>
          <w:sz w:val="24"/>
          <w:szCs w:val="24"/>
        </w:rPr>
      </w:pPr>
      <w:r w:rsidRPr="0026089E">
        <w:rPr>
          <w:i/>
          <w:sz w:val="24"/>
          <w:szCs w:val="24"/>
        </w:rPr>
        <w:t>Obrat zásob=</w:t>
      </w:r>
      <w:r w:rsidRPr="0026089E">
        <w:rPr>
          <w:i/>
          <w:color w:val="FF0000"/>
          <w:sz w:val="24"/>
          <w:szCs w:val="24"/>
        </w:rPr>
        <w:t xml:space="preserve"> </w:t>
      </w:r>
      <w:r w:rsidRPr="0026089E">
        <w:rPr>
          <w:sz w:val="24"/>
          <w:szCs w:val="24"/>
        </w:rPr>
        <w:t xml:space="preserve">(Tržby za prodej zboží + Tržby za prodej vlastních výrobků a </w:t>
      </w:r>
      <w:proofErr w:type="gramStart"/>
      <w:r w:rsidRPr="0026089E">
        <w:rPr>
          <w:sz w:val="24"/>
          <w:szCs w:val="24"/>
        </w:rPr>
        <w:t>služeb)/</w:t>
      </w:r>
      <w:proofErr w:type="gramEnd"/>
      <w:r w:rsidRPr="0026089E">
        <w:rPr>
          <w:sz w:val="24"/>
          <w:szCs w:val="24"/>
        </w:rPr>
        <w:t xml:space="preserve">Zásoby </w:t>
      </w:r>
    </w:p>
    <w:p w:rsidR="001B22DA" w:rsidRPr="0026089E" w:rsidRDefault="001B22DA" w:rsidP="0026089E">
      <w:pPr>
        <w:numPr>
          <w:ilvl w:val="0"/>
          <w:numId w:val="23"/>
        </w:numPr>
        <w:spacing w:after="0" w:line="388" w:lineRule="auto"/>
        <w:ind w:right="71" w:hanging="360"/>
        <w:jc w:val="both"/>
        <w:rPr>
          <w:sz w:val="24"/>
          <w:szCs w:val="24"/>
        </w:rPr>
      </w:pPr>
      <w:r w:rsidRPr="0026089E">
        <w:rPr>
          <w:i/>
          <w:sz w:val="24"/>
          <w:szCs w:val="24"/>
        </w:rPr>
        <w:t>Doba splatnosti pohledávek</w:t>
      </w:r>
      <w:r w:rsidRPr="0026089E">
        <w:rPr>
          <w:sz w:val="24"/>
          <w:szCs w:val="24"/>
        </w:rPr>
        <w:t xml:space="preserve"> = Krátkodobé pohledávky</w:t>
      </w:r>
      <w:proofErr w:type="gramStart"/>
      <w:r w:rsidRPr="0026089E">
        <w:rPr>
          <w:sz w:val="24"/>
          <w:szCs w:val="24"/>
        </w:rPr>
        <w:t>/(</w:t>
      </w:r>
      <w:proofErr w:type="gramEnd"/>
      <w:r w:rsidRPr="0026089E">
        <w:rPr>
          <w:sz w:val="24"/>
          <w:szCs w:val="24"/>
        </w:rPr>
        <w:t xml:space="preserve">(Tržby za prodej </w:t>
      </w:r>
      <w:proofErr w:type="spellStart"/>
      <w:r w:rsidRPr="0026089E">
        <w:rPr>
          <w:sz w:val="24"/>
          <w:szCs w:val="24"/>
        </w:rPr>
        <w:t>zboží+Tržby</w:t>
      </w:r>
      <w:proofErr w:type="spellEnd"/>
      <w:r w:rsidRPr="0026089E">
        <w:rPr>
          <w:sz w:val="24"/>
          <w:szCs w:val="24"/>
        </w:rPr>
        <w:t xml:space="preserve"> za prodej vlastních výrobků a služeb)/360) </w:t>
      </w:r>
    </w:p>
    <w:p w:rsidR="001B22DA" w:rsidRPr="0026089E" w:rsidRDefault="001B22DA" w:rsidP="0026089E">
      <w:pPr>
        <w:numPr>
          <w:ilvl w:val="0"/>
          <w:numId w:val="23"/>
        </w:numPr>
        <w:spacing w:after="0" w:line="388" w:lineRule="auto"/>
        <w:ind w:right="71" w:hanging="360"/>
        <w:jc w:val="both"/>
        <w:rPr>
          <w:sz w:val="24"/>
          <w:szCs w:val="24"/>
        </w:rPr>
      </w:pPr>
      <w:r w:rsidRPr="0026089E">
        <w:rPr>
          <w:i/>
          <w:sz w:val="24"/>
          <w:szCs w:val="24"/>
        </w:rPr>
        <w:t>Doba splatnosti krátkodobých závazků</w:t>
      </w:r>
      <w:r w:rsidRPr="0026089E">
        <w:rPr>
          <w:sz w:val="24"/>
          <w:szCs w:val="24"/>
        </w:rPr>
        <w:t xml:space="preserve"> = Krátkodobé závazky</w:t>
      </w:r>
      <w:proofErr w:type="gramStart"/>
      <w:r w:rsidRPr="0026089E">
        <w:rPr>
          <w:sz w:val="24"/>
          <w:szCs w:val="24"/>
        </w:rPr>
        <w:t>/(</w:t>
      </w:r>
      <w:proofErr w:type="gramEnd"/>
      <w:r w:rsidRPr="0026089E">
        <w:rPr>
          <w:sz w:val="24"/>
          <w:szCs w:val="24"/>
        </w:rPr>
        <w:t xml:space="preserve">(Tržby za prodej </w:t>
      </w:r>
      <w:proofErr w:type="spellStart"/>
      <w:r w:rsidRPr="0026089E">
        <w:rPr>
          <w:sz w:val="24"/>
          <w:szCs w:val="24"/>
        </w:rPr>
        <w:t>zboží+Tržby</w:t>
      </w:r>
      <w:proofErr w:type="spellEnd"/>
      <w:r w:rsidRPr="0026089E">
        <w:rPr>
          <w:sz w:val="24"/>
          <w:szCs w:val="24"/>
        </w:rPr>
        <w:t xml:space="preserve"> za prodej vlastních výrobků a služeb)/360) </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2900"/>
        <w:gridCol w:w="1470"/>
        <w:gridCol w:w="882"/>
        <w:gridCol w:w="882"/>
        <w:gridCol w:w="767"/>
        <w:gridCol w:w="1027"/>
        <w:gridCol w:w="1134"/>
      </w:tblGrid>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
        </w:tc>
        <w:tc>
          <w:tcPr>
            <w:tcW w:w="813"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414"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56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627"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891596"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Tržby</w:t>
            </w:r>
          </w:p>
        </w:tc>
        <w:tc>
          <w:tcPr>
            <w:tcW w:w="813"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615 441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272 949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409 957 </w:t>
            </w:r>
          </w:p>
        </w:tc>
        <w:tc>
          <w:tcPr>
            <w:tcW w:w="414"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393 920 </w:t>
            </w:r>
          </w:p>
        </w:tc>
        <w:tc>
          <w:tcPr>
            <w:tcW w:w="56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409 767 </w:t>
            </w:r>
          </w:p>
        </w:tc>
        <w:tc>
          <w:tcPr>
            <w:tcW w:w="627"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482 586 </w:t>
            </w:r>
          </w:p>
        </w:tc>
      </w:tr>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Aktiva</w:t>
            </w:r>
          </w:p>
        </w:tc>
        <w:tc>
          <w:tcPr>
            <w:tcW w:w="813"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184 777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108 344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118 600 </w:t>
            </w:r>
          </w:p>
        </w:tc>
        <w:tc>
          <w:tcPr>
            <w:tcW w:w="414"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118 059 </w:t>
            </w:r>
          </w:p>
        </w:tc>
        <w:tc>
          <w:tcPr>
            <w:tcW w:w="56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right"/>
              <w:rPr>
                <w:sz w:val="24"/>
                <w:szCs w:val="24"/>
              </w:rPr>
            </w:pPr>
            <w:r w:rsidRPr="0026089E">
              <w:rPr>
                <w:sz w:val="24"/>
                <w:szCs w:val="24"/>
              </w:rPr>
              <w:t xml:space="preserve">132 068 </w:t>
            </w:r>
          </w:p>
        </w:tc>
        <w:tc>
          <w:tcPr>
            <w:tcW w:w="627"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159 872 </w:t>
            </w:r>
          </w:p>
        </w:tc>
      </w:tr>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Zásoby</w:t>
            </w:r>
          </w:p>
        </w:tc>
        <w:tc>
          <w:tcPr>
            <w:tcW w:w="813"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25 253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21 567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14 726 </w:t>
            </w:r>
          </w:p>
        </w:tc>
        <w:tc>
          <w:tcPr>
            <w:tcW w:w="414"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right"/>
              <w:rPr>
                <w:sz w:val="24"/>
                <w:szCs w:val="24"/>
              </w:rPr>
            </w:pPr>
            <w:r w:rsidRPr="0026089E">
              <w:rPr>
                <w:sz w:val="24"/>
                <w:szCs w:val="24"/>
              </w:rPr>
              <w:t xml:space="preserve">6 529 </w:t>
            </w:r>
          </w:p>
        </w:tc>
        <w:tc>
          <w:tcPr>
            <w:tcW w:w="56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left="194"/>
              <w:rPr>
                <w:sz w:val="24"/>
                <w:szCs w:val="24"/>
              </w:rPr>
            </w:pPr>
            <w:r w:rsidRPr="0026089E">
              <w:rPr>
                <w:sz w:val="24"/>
                <w:szCs w:val="24"/>
              </w:rPr>
              <w:t xml:space="preserve">16 111 </w:t>
            </w:r>
          </w:p>
        </w:tc>
        <w:tc>
          <w:tcPr>
            <w:tcW w:w="627"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17 141 </w:t>
            </w:r>
          </w:p>
        </w:tc>
      </w:tr>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Krátkodobé závazky</w:t>
            </w:r>
          </w:p>
        </w:tc>
        <w:tc>
          <w:tcPr>
            <w:tcW w:w="813"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107 287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43 838 </w:t>
            </w:r>
          </w:p>
        </w:tc>
        <w:tc>
          <w:tcPr>
            <w:tcW w:w="48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48 964 </w:t>
            </w:r>
          </w:p>
        </w:tc>
        <w:tc>
          <w:tcPr>
            <w:tcW w:w="414"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5"/>
              <w:jc w:val="right"/>
              <w:rPr>
                <w:sz w:val="24"/>
                <w:szCs w:val="24"/>
              </w:rPr>
            </w:pPr>
            <w:r w:rsidRPr="0026089E">
              <w:rPr>
                <w:sz w:val="24"/>
                <w:szCs w:val="24"/>
              </w:rPr>
              <w:t xml:space="preserve">32 764 </w:t>
            </w:r>
          </w:p>
        </w:tc>
        <w:tc>
          <w:tcPr>
            <w:tcW w:w="568"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left="194"/>
              <w:rPr>
                <w:sz w:val="24"/>
                <w:szCs w:val="24"/>
              </w:rPr>
            </w:pPr>
            <w:r w:rsidRPr="0026089E">
              <w:rPr>
                <w:sz w:val="24"/>
                <w:szCs w:val="24"/>
              </w:rPr>
              <w:t xml:space="preserve">34 151 </w:t>
            </w:r>
          </w:p>
        </w:tc>
        <w:tc>
          <w:tcPr>
            <w:tcW w:w="627" w:type="pct"/>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6"/>
              <w:jc w:val="right"/>
              <w:rPr>
                <w:sz w:val="24"/>
                <w:szCs w:val="24"/>
              </w:rPr>
            </w:pPr>
            <w:r w:rsidRPr="0026089E">
              <w:rPr>
                <w:sz w:val="24"/>
                <w:szCs w:val="24"/>
              </w:rPr>
              <w:t xml:space="preserve">41 479 </w:t>
            </w:r>
          </w:p>
        </w:tc>
      </w:tr>
      <w:tr w:rsidR="0026089E" w:rsidRPr="0026089E" w:rsidTr="0026089E">
        <w:trPr>
          <w:trHeight w:val="391"/>
        </w:trPr>
        <w:tc>
          <w:tcPr>
            <w:tcW w:w="1602"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Obrat aktiv (násobek) </w:t>
            </w:r>
          </w:p>
        </w:tc>
        <w:tc>
          <w:tcPr>
            <w:tcW w:w="813"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3,33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2,52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6"/>
              <w:jc w:val="right"/>
              <w:rPr>
                <w:sz w:val="24"/>
                <w:szCs w:val="24"/>
              </w:rPr>
            </w:pPr>
            <w:r w:rsidRPr="0026089E">
              <w:rPr>
                <w:sz w:val="24"/>
                <w:szCs w:val="24"/>
              </w:rPr>
              <w:t xml:space="preserve">3,46 </w:t>
            </w:r>
          </w:p>
        </w:tc>
        <w:tc>
          <w:tcPr>
            <w:tcW w:w="414"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3,34 </w:t>
            </w:r>
          </w:p>
        </w:tc>
        <w:tc>
          <w:tcPr>
            <w:tcW w:w="56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3,10 </w:t>
            </w:r>
          </w:p>
        </w:tc>
        <w:tc>
          <w:tcPr>
            <w:tcW w:w="627"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6"/>
              <w:jc w:val="right"/>
              <w:rPr>
                <w:sz w:val="24"/>
                <w:szCs w:val="24"/>
              </w:rPr>
            </w:pPr>
            <w:r w:rsidRPr="0026089E">
              <w:rPr>
                <w:sz w:val="24"/>
                <w:szCs w:val="24"/>
              </w:rPr>
              <w:t xml:space="preserve">3,02 </w:t>
            </w:r>
          </w:p>
        </w:tc>
      </w:tr>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Obrat zásob (násobek) </w:t>
            </w:r>
          </w:p>
        </w:tc>
        <w:tc>
          <w:tcPr>
            <w:tcW w:w="813"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24,4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12,7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6"/>
              <w:jc w:val="right"/>
              <w:rPr>
                <w:sz w:val="24"/>
                <w:szCs w:val="24"/>
              </w:rPr>
            </w:pPr>
            <w:r w:rsidRPr="0026089E">
              <w:rPr>
                <w:sz w:val="24"/>
                <w:szCs w:val="24"/>
              </w:rPr>
              <w:t xml:space="preserve">27,8 </w:t>
            </w:r>
          </w:p>
        </w:tc>
        <w:tc>
          <w:tcPr>
            <w:tcW w:w="414"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60,3 </w:t>
            </w:r>
          </w:p>
        </w:tc>
        <w:tc>
          <w:tcPr>
            <w:tcW w:w="56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25,4 </w:t>
            </w:r>
          </w:p>
        </w:tc>
        <w:tc>
          <w:tcPr>
            <w:tcW w:w="627"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6"/>
              <w:jc w:val="right"/>
              <w:rPr>
                <w:sz w:val="24"/>
                <w:szCs w:val="24"/>
              </w:rPr>
            </w:pPr>
            <w:r w:rsidRPr="0026089E">
              <w:rPr>
                <w:sz w:val="24"/>
                <w:szCs w:val="24"/>
              </w:rPr>
              <w:t xml:space="preserve">28,2 </w:t>
            </w:r>
          </w:p>
        </w:tc>
      </w:tr>
      <w:tr w:rsidR="0026089E" w:rsidRPr="0026089E" w:rsidTr="0026089E">
        <w:trPr>
          <w:trHeight w:val="389"/>
        </w:trPr>
        <w:tc>
          <w:tcPr>
            <w:tcW w:w="1602"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Doba splatnosti pohledávek (ve dnech) </w:t>
            </w:r>
          </w:p>
        </w:tc>
        <w:tc>
          <w:tcPr>
            <w:tcW w:w="813"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74,83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70,39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46,85 </w:t>
            </w:r>
          </w:p>
        </w:tc>
        <w:tc>
          <w:tcPr>
            <w:tcW w:w="414"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46,91 </w:t>
            </w:r>
          </w:p>
        </w:tc>
        <w:tc>
          <w:tcPr>
            <w:tcW w:w="56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5"/>
              <w:rPr>
                <w:sz w:val="24"/>
                <w:szCs w:val="24"/>
              </w:rPr>
            </w:pPr>
            <w:r w:rsidRPr="0026089E">
              <w:rPr>
                <w:sz w:val="24"/>
                <w:szCs w:val="24"/>
              </w:rPr>
              <w:t xml:space="preserve">54,10 </w:t>
            </w:r>
          </w:p>
        </w:tc>
        <w:tc>
          <w:tcPr>
            <w:tcW w:w="627"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56,49 </w:t>
            </w:r>
          </w:p>
        </w:tc>
      </w:tr>
      <w:tr w:rsidR="0026089E" w:rsidRPr="0026089E" w:rsidTr="0026089E">
        <w:trPr>
          <w:trHeight w:val="391"/>
        </w:trPr>
        <w:tc>
          <w:tcPr>
            <w:tcW w:w="1602"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Doba splatnosti krát. závazků (ve dnech) </w:t>
            </w:r>
          </w:p>
        </w:tc>
        <w:tc>
          <w:tcPr>
            <w:tcW w:w="813"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62,76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57,82 </w:t>
            </w:r>
          </w:p>
        </w:tc>
        <w:tc>
          <w:tcPr>
            <w:tcW w:w="48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43,00 </w:t>
            </w:r>
          </w:p>
        </w:tc>
        <w:tc>
          <w:tcPr>
            <w:tcW w:w="414"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29,94 </w:t>
            </w:r>
          </w:p>
        </w:tc>
        <w:tc>
          <w:tcPr>
            <w:tcW w:w="568"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5"/>
              <w:rPr>
                <w:sz w:val="24"/>
                <w:szCs w:val="24"/>
              </w:rPr>
            </w:pPr>
            <w:r w:rsidRPr="0026089E">
              <w:rPr>
                <w:sz w:val="24"/>
                <w:szCs w:val="24"/>
              </w:rPr>
              <w:t xml:space="preserve">30,00 </w:t>
            </w:r>
          </w:p>
        </w:tc>
        <w:tc>
          <w:tcPr>
            <w:tcW w:w="627" w:type="pct"/>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left="62"/>
              <w:rPr>
                <w:sz w:val="24"/>
                <w:szCs w:val="24"/>
              </w:rPr>
            </w:pPr>
            <w:r w:rsidRPr="0026089E">
              <w:rPr>
                <w:sz w:val="24"/>
                <w:szCs w:val="24"/>
              </w:rPr>
              <w:t xml:space="preserve">30,94 </w:t>
            </w:r>
          </w:p>
        </w:tc>
      </w:tr>
    </w:tbl>
    <w:p w:rsidR="00891596" w:rsidRPr="0026089E" w:rsidRDefault="00255930" w:rsidP="0026089E">
      <w:pPr>
        <w:spacing w:after="0" w:line="388" w:lineRule="auto"/>
        <w:ind w:right="71"/>
        <w:jc w:val="both"/>
        <w:rPr>
          <w:sz w:val="24"/>
          <w:szCs w:val="24"/>
        </w:rPr>
      </w:pPr>
      <w:r w:rsidRPr="0026089E">
        <w:rPr>
          <w:sz w:val="24"/>
          <w:szCs w:val="24"/>
        </w:rPr>
        <w:t xml:space="preserve">  Nejvíce problémovou se pro podnik zdá být doba splatnosti pohledávek, která ve všech sledovaných letech převyšovala dobu splatnosti krátkodobých závazků</w:t>
      </w:r>
    </w:p>
    <w:p w:rsidR="001B22DA" w:rsidRPr="0026089E" w:rsidRDefault="001B22DA" w:rsidP="0026089E">
      <w:pPr>
        <w:pStyle w:val="Nadpis6"/>
        <w:spacing w:after="0"/>
        <w:jc w:val="center"/>
        <w:rPr>
          <w:szCs w:val="24"/>
        </w:rPr>
      </w:pPr>
      <w:r w:rsidRPr="0026089E">
        <w:rPr>
          <w:szCs w:val="24"/>
        </w:rPr>
        <w:t>Ukazatele likvidity podniku</w:t>
      </w:r>
    </w:p>
    <w:p w:rsidR="001B22DA" w:rsidRPr="0026089E" w:rsidRDefault="001B22DA" w:rsidP="0026089E">
      <w:pPr>
        <w:numPr>
          <w:ilvl w:val="0"/>
          <w:numId w:val="24"/>
        </w:numPr>
        <w:spacing w:after="0" w:line="388" w:lineRule="auto"/>
        <w:ind w:right="71" w:hanging="360"/>
        <w:jc w:val="both"/>
        <w:rPr>
          <w:sz w:val="24"/>
          <w:szCs w:val="24"/>
        </w:rPr>
      </w:pPr>
      <w:r w:rsidRPr="0026089E">
        <w:rPr>
          <w:i/>
          <w:sz w:val="24"/>
          <w:szCs w:val="24"/>
        </w:rPr>
        <w:t>Běžná likvidita</w:t>
      </w:r>
      <w:r w:rsidRPr="0026089E">
        <w:rPr>
          <w:sz w:val="24"/>
          <w:szCs w:val="24"/>
        </w:rPr>
        <w:t xml:space="preserve"> = Oběžná aktiva</w:t>
      </w:r>
      <w:proofErr w:type="gramStart"/>
      <w:r w:rsidRPr="0026089E">
        <w:rPr>
          <w:sz w:val="24"/>
          <w:szCs w:val="24"/>
        </w:rPr>
        <w:t>/(</w:t>
      </w:r>
      <w:proofErr w:type="gramEnd"/>
      <w:r w:rsidRPr="0026089E">
        <w:rPr>
          <w:sz w:val="24"/>
          <w:szCs w:val="24"/>
        </w:rPr>
        <w:t xml:space="preserve">Krátkodobé </w:t>
      </w:r>
      <w:proofErr w:type="spellStart"/>
      <w:r w:rsidRPr="0026089E">
        <w:rPr>
          <w:sz w:val="24"/>
          <w:szCs w:val="24"/>
        </w:rPr>
        <w:t>závazky+Krátkodobé</w:t>
      </w:r>
      <w:proofErr w:type="spellEnd"/>
      <w:r w:rsidRPr="0026089E">
        <w:rPr>
          <w:sz w:val="24"/>
          <w:szCs w:val="24"/>
        </w:rPr>
        <w:t xml:space="preserve"> bankovní </w:t>
      </w:r>
      <w:proofErr w:type="spellStart"/>
      <w:r w:rsidRPr="0026089E">
        <w:rPr>
          <w:sz w:val="24"/>
          <w:szCs w:val="24"/>
        </w:rPr>
        <w:t>úvěry+Krátkodobé</w:t>
      </w:r>
      <w:proofErr w:type="spellEnd"/>
      <w:r w:rsidRPr="0026089E">
        <w:rPr>
          <w:sz w:val="24"/>
          <w:szCs w:val="24"/>
        </w:rPr>
        <w:t xml:space="preserve"> finanční výpomoci) </w:t>
      </w:r>
    </w:p>
    <w:p w:rsidR="001B22DA" w:rsidRPr="0026089E" w:rsidRDefault="001B22DA" w:rsidP="0026089E">
      <w:pPr>
        <w:numPr>
          <w:ilvl w:val="0"/>
          <w:numId w:val="24"/>
        </w:numPr>
        <w:spacing w:after="0" w:line="388" w:lineRule="auto"/>
        <w:ind w:right="71" w:hanging="360"/>
        <w:jc w:val="both"/>
        <w:rPr>
          <w:sz w:val="24"/>
          <w:szCs w:val="24"/>
        </w:rPr>
      </w:pPr>
      <w:r w:rsidRPr="0026089E">
        <w:rPr>
          <w:i/>
          <w:sz w:val="24"/>
          <w:szCs w:val="24"/>
        </w:rPr>
        <w:t>Pohotová likvidita</w:t>
      </w:r>
      <w:r w:rsidRPr="0026089E">
        <w:rPr>
          <w:sz w:val="24"/>
          <w:szCs w:val="24"/>
        </w:rPr>
        <w:t xml:space="preserve"> = (Oběžná aktiva – </w:t>
      </w:r>
      <w:proofErr w:type="gramStart"/>
      <w:r w:rsidRPr="0026089E">
        <w:rPr>
          <w:sz w:val="24"/>
          <w:szCs w:val="24"/>
        </w:rPr>
        <w:t>Zásoby)/</w:t>
      </w:r>
      <w:proofErr w:type="gramEnd"/>
      <w:r w:rsidRPr="0026089E">
        <w:rPr>
          <w:sz w:val="24"/>
          <w:szCs w:val="24"/>
        </w:rPr>
        <w:t xml:space="preserve">(Krátkodobé </w:t>
      </w:r>
      <w:proofErr w:type="spellStart"/>
      <w:r w:rsidRPr="0026089E">
        <w:rPr>
          <w:sz w:val="24"/>
          <w:szCs w:val="24"/>
        </w:rPr>
        <w:t>závazky+Krátkodobé</w:t>
      </w:r>
      <w:proofErr w:type="spellEnd"/>
      <w:r w:rsidRPr="0026089E">
        <w:rPr>
          <w:sz w:val="24"/>
          <w:szCs w:val="24"/>
        </w:rPr>
        <w:t xml:space="preserve"> bankovní </w:t>
      </w:r>
      <w:proofErr w:type="spellStart"/>
      <w:r w:rsidRPr="0026089E">
        <w:rPr>
          <w:sz w:val="24"/>
          <w:szCs w:val="24"/>
        </w:rPr>
        <w:t>úvěry+Krátkodobé</w:t>
      </w:r>
      <w:proofErr w:type="spellEnd"/>
      <w:r w:rsidRPr="0026089E">
        <w:rPr>
          <w:sz w:val="24"/>
          <w:szCs w:val="24"/>
        </w:rPr>
        <w:t xml:space="preserve"> finanční výpomoci) </w:t>
      </w:r>
    </w:p>
    <w:p w:rsidR="001B22DA" w:rsidRPr="0026089E" w:rsidRDefault="001B22DA" w:rsidP="0026089E">
      <w:pPr>
        <w:numPr>
          <w:ilvl w:val="0"/>
          <w:numId w:val="24"/>
        </w:numPr>
        <w:spacing w:after="0" w:line="388" w:lineRule="auto"/>
        <w:ind w:right="71" w:hanging="360"/>
        <w:jc w:val="both"/>
        <w:rPr>
          <w:sz w:val="24"/>
          <w:szCs w:val="24"/>
        </w:rPr>
      </w:pPr>
      <w:r w:rsidRPr="0026089E">
        <w:rPr>
          <w:i/>
          <w:sz w:val="24"/>
          <w:szCs w:val="24"/>
        </w:rPr>
        <w:t>Hotovostní likvidita</w:t>
      </w:r>
      <w:r w:rsidRPr="0026089E">
        <w:rPr>
          <w:sz w:val="24"/>
          <w:szCs w:val="24"/>
        </w:rPr>
        <w:t xml:space="preserve"> = Peněžní prostředky</w:t>
      </w:r>
      <w:proofErr w:type="gramStart"/>
      <w:r w:rsidRPr="0026089E">
        <w:rPr>
          <w:sz w:val="24"/>
          <w:szCs w:val="24"/>
        </w:rPr>
        <w:t>/(</w:t>
      </w:r>
      <w:proofErr w:type="gramEnd"/>
      <w:r w:rsidRPr="0026089E">
        <w:rPr>
          <w:sz w:val="24"/>
          <w:szCs w:val="24"/>
        </w:rPr>
        <w:t xml:space="preserve">Krátkodobé </w:t>
      </w:r>
      <w:proofErr w:type="spellStart"/>
      <w:r w:rsidRPr="0026089E">
        <w:rPr>
          <w:sz w:val="24"/>
          <w:szCs w:val="24"/>
        </w:rPr>
        <w:t>závazky+Krátkodobé</w:t>
      </w:r>
      <w:proofErr w:type="spellEnd"/>
      <w:r w:rsidRPr="0026089E">
        <w:rPr>
          <w:sz w:val="24"/>
          <w:szCs w:val="24"/>
        </w:rPr>
        <w:t xml:space="preserve"> bankovní </w:t>
      </w:r>
      <w:proofErr w:type="spellStart"/>
      <w:r w:rsidRPr="0026089E">
        <w:rPr>
          <w:sz w:val="24"/>
          <w:szCs w:val="24"/>
        </w:rPr>
        <w:t>úvěry+Krátkodobé</w:t>
      </w:r>
      <w:proofErr w:type="spellEnd"/>
      <w:r w:rsidRPr="0026089E">
        <w:rPr>
          <w:sz w:val="24"/>
          <w:szCs w:val="24"/>
        </w:rPr>
        <w:t xml:space="preserve"> finanční výpomoci) </w:t>
      </w:r>
    </w:p>
    <w:tbl>
      <w:tblPr>
        <w:tblStyle w:val="TableGrid"/>
        <w:tblW w:w="8644" w:type="dxa"/>
        <w:tblInd w:w="-108" w:type="dxa"/>
        <w:tblCellMar>
          <w:top w:w="8" w:type="dxa"/>
          <w:left w:w="108" w:type="dxa"/>
          <w:right w:w="53" w:type="dxa"/>
        </w:tblCellMar>
        <w:tblLook w:val="04A0" w:firstRow="1" w:lastRow="0" w:firstColumn="1" w:lastColumn="0" w:noHBand="0" w:noVBand="1"/>
      </w:tblPr>
      <w:tblGrid>
        <w:gridCol w:w="2518"/>
        <w:gridCol w:w="1020"/>
        <w:gridCol w:w="1023"/>
        <w:gridCol w:w="1020"/>
        <w:gridCol w:w="1021"/>
        <w:gridCol w:w="1022"/>
        <w:gridCol w:w="1020"/>
      </w:tblGrid>
      <w:tr w:rsidR="0026089E" w:rsidRPr="0026089E" w:rsidTr="00C029B9">
        <w:trPr>
          <w:trHeight w:val="392"/>
        </w:trPr>
        <w:tc>
          <w:tcPr>
            <w:tcW w:w="251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102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102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1021"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102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102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891596" w:rsidRPr="0026089E" w:rsidTr="00C029B9">
        <w:trPr>
          <w:trHeight w:val="392"/>
        </w:trPr>
        <w:tc>
          <w:tcPr>
            <w:tcW w:w="251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Oběžná aktiva</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163 106 </w:t>
            </w:r>
          </w:p>
        </w:tc>
        <w:tc>
          <w:tcPr>
            <w:tcW w:w="1023"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79 301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88 570 </w:t>
            </w:r>
          </w:p>
        </w:tc>
        <w:tc>
          <w:tcPr>
            <w:tcW w:w="102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80 335 </w:t>
            </w:r>
          </w:p>
        </w:tc>
        <w:tc>
          <w:tcPr>
            <w:tcW w:w="1022"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92 642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115 588 </w:t>
            </w:r>
          </w:p>
        </w:tc>
      </w:tr>
      <w:tr w:rsidR="00891596" w:rsidRPr="0026089E" w:rsidTr="00C029B9">
        <w:trPr>
          <w:trHeight w:val="392"/>
        </w:trPr>
        <w:tc>
          <w:tcPr>
            <w:tcW w:w="251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Krátkodobé závazky</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107 287 </w:t>
            </w:r>
          </w:p>
        </w:tc>
        <w:tc>
          <w:tcPr>
            <w:tcW w:w="1023"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43 838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48 964 </w:t>
            </w:r>
          </w:p>
        </w:tc>
        <w:tc>
          <w:tcPr>
            <w:tcW w:w="102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32 764 </w:t>
            </w:r>
          </w:p>
        </w:tc>
        <w:tc>
          <w:tcPr>
            <w:tcW w:w="1022"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34 151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rPr>
                <w:sz w:val="24"/>
                <w:szCs w:val="24"/>
              </w:rPr>
            </w:pPr>
            <w:r w:rsidRPr="0026089E">
              <w:rPr>
                <w:sz w:val="24"/>
                <w:szCs w:val="24"/>
              </w:rPr>
              <w:t xml:space="preserve">41 479 </w:t>
            </w:r>
          </w:p>
        </w:tc>
      </w:tr>
      <w:tr w:rsidR="00891596" w:rsidRPr="0026089E" w:rsidTr="00C029B9">
        <w:trPr>
          <w:trHeight w:val="389"/>
        </w:trPr>
        <w:tc>
          <w:tcPr>
            <w:tcW w:w="251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Běžná likvidita </w:t>
            </w:r>
            <w:r w:rsidRPr="0026089E">
              <w:rPr>
                <w:b/>
                <w:sz w:val="24"/>
                <w:szCs w:val="24"/>
              </w:rPr>
              <w:t>(1,5-2,5)</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1,52 </w:t>
            </w:r>
          </w:p>
        </w:tc>
        <w:tc>
          <w:tcPr>
            <w:tcW w:w="1023"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1,81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1,81 </w:t>
            </w:r>
          </w:p>
        </w:tc>
        <w:tc>
          <w:tcPr>
            <w:tcW w:w="102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2,45 </w:t>
            </w:r>
          </w:p>
        </w:tc>
        <w:tc>
          <w:tcPr>
            <w:tcW w:w="1022"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2,71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2,79 </w:t>
            </w:r>
          </w:p>
        </w:tc>
      </w:tr>
      <w:tr w:rsidR="00891596" w:rsidRPr="0026089E" w:rsidTr="00C029B9">
        <w:trPr>
          <w:trHeight w:val="389"/>
        </w:trPr>
        <w:tc>
          <w:tcPr>
            <w:tcW w:w="251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Pohotová likvidita </w:t>
            </w:r>
            <w:r w:rsidRPr="0026089E">
              <w:rPr>
                <w:b/>
                <w:sz w:val="24"/>
                <w:szCs w:val="24"/>
              </w:rPr>
              <w:t>(1-1,5)</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1,28 </w:t>
            </w:r>
          </w:p>
        </w:tc>
        <w:tc>
          <w:tcPr>
            <w:tcW w:w="1023"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1,32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1,51 </w:t>
            </w:r>
          </w:p>
        </w:tc>
        <w:tc>
          <w:tcPr>
            <w:tcW w:w="102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2,25 </w:t>
            </w:r>
          </w:p>
        </w:tc>
        <w:tc>
          <w:tcPr>
            <w:tcW w:w="1022"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2,24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2,37 </w:t>
            </w:r>
          </w:p>
        </w:tc>
      </w:tr>
      <w:tr w:rsidR="00891596" w:rsidRPr="0026089E" w:rsidTr="00C029B9">
        <w:trPr>
          <w:trHeight w:val="391"/>
        </w:trPr>
        <w:tc>
          <w:tcPr>
            <w:tcW w:w="2518"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rPr>
                <w:sz w:val="24"/>
                <w:szCs w:val="24"/>
              </w:rPr>
            </w:pPr>
            <w:r w:rsidRPr="0026089E">
              <w:rPr>
                <w:b/>
                <w:sz w:val="24"/>
                <w:szCs w:val="24"/>
              </w:rPr>
              <w:t xml:space="preserve">Okamžitá likvidita </w:t>
            </w:r>
            <w:r w:rsidRPr="0026089E">
              <w:rPr>
                <w:b/>
                <w:sz w:val="24"/>
                <w:szCs w:val="24"/>
              </w:rPr>
              <w:t>(0,1-0,5)</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0,09 </w:t>
            </w:r>
          </w:p>
        </w:tc>
        <w:tc>
          <w:tcPr>
            <w:tcW w:w="1023"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0,10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0,42 </w:t>
            </w:r>
          </w:p>
        </w:tc>
        <w:tc>
          <w:tcPr>
            <w:tcW w:w="1021"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0,68 </w:t>
            </w:r>
          </w:p>
        </w:tc>
        <w:tc>
          <w:tcPr>
            <w:tcW w:w="1022"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5"/>
              <w:jc w:val="right"/>
              <w:rPr>
                <w:sz w:val="24"/>
                <w:szCs w:val="24"/>
              </w:rPr>
            </w:pPr>
            <w:r w:rsidRPr="0026089E">
              <w:rPr>
                <w:sz w:val="24"/>
                <w:szCs w:val="24"/>
              </w:rPr>
              <w:t xml:space="preserve">0,43 </w:t>
            </w:r>
          </w:p>
        </w:tc>
        <w:tc>
          <w:tcPr>
            <w:tcW w:w="1020" w:type="dxa"/>
            <w:tcBorders>
              <w:top w:val="single" w:sz="4" w:space="0" w:color="000000"/>
              <w:left w:val="single" w:sz="4" w:space="0" w:color="000000"/>
              <w:bottom w:val="single" w:sz="4" w:space="0" w:color="000000"/>
              <w:right w:val="single" w:sz="4" w:space="0" w:color="000000"/>
            </w:tcBorders>
          </w:tcPr>
          <w:p w:rsidR="00891596" w:rsidRPr="0026089E" w:rsidRDefault="00891596" w:rsidP="0026089E">
            <w:pPr>
              <w:spacing w:line="259" w:lineRule="auto"/>
              <w:ind w:right="53"/>
              <w:jc w:val="right"/>
              <w:rPr>
                <w:sz w:val="24"/>
                <w:szCs w:val="24"/>
              </w:rPr>
            </w:pPr>
            <w:r w:rsidRPr="0026089E">
              <w:rPr>
                <w:sz w:val="24"/>
                <w:szCs w:val="24"/>
              </w:rPr>
              <w:t xml:space="preserve">0,55 </w:t>
            </w:r>
          </w:p>
        </w:tc>
      </w:tr>
    </w:tbl>
    <w:p w:rsidR="00891596" w:rsidRPr="0026089E" w:rsidRDefault="00891596" w:rsidP="0026089E">
      <w:pPr>
        <w:spacing w:after="0" w:line="388" w:lineRule="auto"/>
        <w:ind w:right="71"/>
        <w:jc w:val="both"/>
        <w:rPr>
          <w:sz w:val="24"/>
          <w:szCs w:val="24"/>
        </w:rPr>
      </w:pPr>
    </w:p>
    <w:p w:rsidR="001B22DA" w:rsidRPr="0026089E" w:rsidRDefault="001B22DA" w:rsidP="0026089E">
      <w:pPr>
        <w:pStyle w:val="Nadpis6"/>
        <w:spacing w:after="0"/>
        <w:jc w:val="center"/>
        <w:rPr>
          <w:szCs w:val="24"/>
        </w:rPr>
      </w:pPr>
      <w:r w:rsidRPr="0026089E">
        <w:rPr>
          <w:szCs w:val="24"/>
        </w:rPr>
        <w:t>Ukazatele zadluženosti</w:t>
      </w:r>
    </w:p>
    <w:p w:rsidR="001B22DA" w:rsidRPr="0026089E" w:rsidRDefault="001B22DA" w:rsidP="0026089E">
      <w:pPr>
        <w:numPr>
          <w:ilvl w:val="0"/>
          <w:numId w:val="26"/>
        </w:numPr>
        <w:spacing w:after="0"/>
        <w:ind w:right="68" w:hanging="360"/>
        <w:jc w:val="both"/>
        <w:rPr>
          <w:sz w:val="24"/>
          <w:szCs w:val="24"/>
        </w:rPr>
      </w:pPr>
      <w:r w:rsidRPr="0026089E">
        <w:rPr>
          <w:i/>
          <w:sz w:val="24"/>
          <w:szCs w:val="24"/>
        </w:rPr>
        <w:t>Ukazatele věřitelského rizika</w:t>
      </w:r>
      <w:r w:rsidRPr="0026089E">
        <w:rPr>
          <w:sz w:val="24"/>
          <w:szCs w:val="24"/>
        </w:rPr>
        <w:t xml:space="preserve"> = Cizí zdroje/Aktiva </w:t>
      </w:r>
    </w:p>
    <w:p w:rsidR="001B22DA" w:rsidRPr="0026089E" w:rsidRDefault="001B22DA" w:rsidP="0026089E">
      <w:pPr>
        <w:numPr>
          <w:ilvl w:val="0"/>
          <w:numId w:val="26"/>
        </w:numPr>
        <w:spacing w:after="0"/>
        <w:ind w:right="68" w:hanging="360"/>
        <w:jc w:val="both"/>
        <w:rPr>
          <w:sz w:val="24"/>
          <w:szCs w:val="24"/>
        </w:rPr>
      </w:pPr>
      <w:r w:rsidRPr="0026089E">
        <w:rPr>
          <w:i/>
          <w:sz w:val="24"/>
          <w:szCs w:val="24"/>
        </w:rPr>
        <w:t>Míra zadluženosti</w:t>
      </w:r>
      <w:r w:rsidRPr="0026089E">
        <w:rPr>
          <w:sz w:val="24"/>
          <w:szCs w:val="24"/>
        </w:rPr>
        <w:t xml:space="preserve"> = Cizí zdroje/Vlastní kapitál </w:t>
      </w:r>
    </w:p>
    <w:p w:rsidR="001B22DA" w:rsidRPr="0026089E" w:rsidRDefault="001B22DA" w:rsidP="0026089E">
      <w:pPr>
        <w:numPr>
          <w:ilvl w:val="0"/>
          <w:numId w:val="26"/>
        </w:numPr>
        <w:spacing w:after="0"/>
        <w:ind w:right="68" w:hanging="360"/>
        <w:jc w:val="both"/>
        <w:rPr>
          <w:sz w:val="24"/>
          <w:szCs w:val="24"/>
        </w:rPr>
      </w:pPr>
      <w:r w:rsidRPr="0026089E">
        <w:rPr>
          <w:i/>
          <w:sz w:val="24"/>
          <w:szCs w:val="24"/>
        </w:rPr>
        <w:t>Koeficient samofinancování</w:t>
      </w:r>
      <w:r w:rsidRPr="0026089E">
        <w:rPr>
          <w:sz w:val="24"/>
          <w:szCs w:val="24"/>
        </w:rPr>
        <w:t xml:space="preserve"> = Vlastní kapitál/Aktiva </w:t>
      </w:r>
    </w:p>
    <w:tbl>
      <w:tblPr>
        <w:tblStyle w:val="TableGrid"/>
        <w:tblW w:w="8892" w:type="dxa"/>
        <w:tblInd w:w="-108" w:type="dxa"/>
        <w:tblCellMar>
          <w:top w:w="7" w:type="dxa"/>
          <w:left w:w="108" w:type="dxa"/>
          <w:right w:w="50" w:type="dxa"/>
        </w:tblCellMar>
        <w:tblLook w:val="04A0" w:firstRow="1" w:lastRow="0" w:firstColumn="1" w:lastColumn="0" w:noHBand="0" w:noVBand="1"/>
      </w:tblPr>
      <w:tblGrid>
        <w:gridCol w:w="3538"/>
        <w:gridCol w:w="1133"/>
        <w:gridCol w:w="713"/>
        <w:gridCol w:w="850"/>
        <w:gridCol w:w="733"/>
        <w:gridCol w:w="962"/>
        <w:gridCol w:w="963"/>
      </w:tblGrid>
      <w:tr w:rsidR="0026089E" w:rsidRPr="0026089E" w:rsidTr="00C029B9">
        <w:trPr>
          <w:trHeight w:val="425"/>
        </w:trPr>
        <w:tc>
          <w:tcPr>
            <w:tcW w:w="353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71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85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7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96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96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26089E" w:rsidRPr="0026089E" w:rsidTr="00C029B9">
        <w:trPr>
          <w:trHeight w:val="425"/>
        </w:trPr>
        <w:tc>
          <w:tcPr>
            <w:tcW w:w="353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Cizí zdroje</w:t>
            </w:r>
          </w:p>
        </w:tc>
        <w:tc>
          <w:tcPr>
            <w:tcW w:w="11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115 730 </w:t>
            </w:r>
          </w:p>
        </w:tc>
        <w:tc>
          <w:tcPr>
            <w:tcW w:w="71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49 628 </w:t>
            </w:r>
          </w:p>
        </w:tc>
        <w:tc>
          <w:tcPr>
            <w:tcW w:w="85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8"/>
              <w:jc w:val="right"/>
              <w:rPr>
                <w:sz w:val="24"/>
                <w:szCs w:val="24"/>
              </w:rPr>
            </w:pPr>
            <w:r w:rsidRPr="0026089E">
              <w:rPr>
                <w:sz w:val="24"/>
                <w:szCs w:val="24"/>
              </w:rPr>
              <w:t xml:space="preserve">52 830 </w:t>
            </w:r>
          </w:p>
        </w:tc>
        <w:tc>
          <w:tcPr>
            <w:tcW w:w="7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5"/>
              <w:jc w:val="right"/>
              <w:rPr>
                <w:sz w:val="24"/>
                <w:szCs w:val="24"/>
              </w:rPr>
            </w:pPr>
            <w:r w:rsidRPr="0026089E">
              <w:rPr>
                <w:sz w:val="24"/>
                <w:szCs w:val="24"/>
              </w:rPr>
              <w:t xml:space="preserve">41 513 </w:t>
            </w:r>
          </w:p>
        </w:tc>
        <w:tc>
          <w:tcPr>
            <w:tcW w:w="96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left="194"/>
              <w:rPr>
                <w:sz w:val="24"/>
                <w:szCs w:val="24"/>
              </w:rPr>
            </w:pPr>
            <w:r w:rsidRPr="0026089E">
              <w:rPr>
                <w:sz w:val="24"/>
                <w:szCs w:val="24"/>
              </w:rPr>
              <w:t xml:space="preserve">48 234 </w:t>
            </w:r>
          </w:p>
        </w:tc>
        <w:tc>
          <w:tcPr>
            <w:tcW w:w="96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76"/>
              <w:jc w:val="right"/>
              <w:rPr>
                <w:sz w:val="24"/>
                <w:szCs w:val="24"/>
              </w:rPr>
            </w:pPr>
            <w:r w:rsidRPr="0026089E">
              <w:rPr>
                <w:sz w:val="24"/>
                <w:szCs w:val="24"/>
              </w:rPr>
              <w:t xml:space="preserve">63 634 </w:t>
            </w:r>
          </w:p>
        </w:tc>
      </w:tr>
      <w:tr w:rsidR="0026089E" w:rsidRPr="0026089E" w:rsidTr="00C029B9">
        <w:trPr>
          <w:trHeight w:val="425"/>
        </w:trPr>
        <w:tc>
          <w:tcPr>
            <w:tcW w:w="353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 xml:space="preserve">Aktiva </w:t>
            </w:r>
          </w:p>
        </w:tc>
        <w:tc>
          <w:tcPr>
            <w:tcW w:w="11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184 777 </w:t>
            </w:r>
          </w:p>
        </w:tc>
        <w:tc>
          <w:tcPr>
            <w:tcW w:w="71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108 344 </w:t>
            </w:r>
          </w:p>
        </w:tc>
        <w:tc>
          <w:tcPr>
            <w:tcW w:w="85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118 600 </w:t>
            </w:r>
          </w:p>
        </w:tc>
        <w:tc>
          <w:tcPr>
            <w:tcW w:w="7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118 059 </w:t>
            </w:r>
          </w:p>
        </w:tc>
        <w:tc>
          <w:tcPr>
            <w:tcW w:w="96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right"/>
              <w:rPr>
                <w:sz w:val="24"/>
                <w:szCs w:val="24"/>
              </w:rPr>
            </w:pPr>
            <w:r w:rsidRPr="0026089E">
              <w:rPr>
                <w:sz w:val="24"/>
                <w:szCs w:val="24"/>
              </w:rPr>
              <w:t xml:space="preserve">132 068 </w:t>
            </w:r>
          </w:p>
        </w:tc>
        <w:tc>
          <w:tcPr>
            <w:tcW w:w="96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159 872 </w:t>
            </w:r>
          </w:p>
        </w:tc>
      </w:tr>
      <w:tr w:rsidR="0026089E" w:rsidRPr="0026089E" w:rsidTr="00C029B9">
        <w:trPr>
          <w:trHeight w:val="425"/>
        </w:trPr>
        <w:tc>
          <w:tcPr>
            <w:tcW w:w="3538"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rPr>
                <w:sz w:val="24"/>
                <w:szCs w:val="24"/>
              </w:rPr>
            </w:pPr>
            <w:r w:rsidRPr="0026089E">
              <w:rPr>
                <w:sz w:val="24"/>
                <w:szCs w:val="24"/>
              </w:rPr>
              <w:t>Vlastní kapitál</w:t>
            </w:r>
          </w:p>
        </w:tc>
        <w:tc>
          <w:tcPr>
            <w:tcW w:w="11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45 870 </w:t>
            </w:r>
          </w:p>
        </w:tc>
        <w:tc>
          <w:tcPr>
            <w:tcW w:w="71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47 985 </w:t>
            </w:r>
          </w:p>
        </w:tc>
        <w:tc>
          <w:tcPr>
            <w:tcW w:w="850"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2"/>
              <w:jc w:val="right"/>
              <w:rPr>
                <w:sz w:val="24"/>
                <w:szCs w:val="24"/>
              </w:rPr>
            </w:pPr>
            <w:r w:rsidRPr="0026089E">
              <w:rPr>
                <w:sz w:val="24"/>
                <w:szCs w:val="24"/>
              </w:rPr>
              <w:t xml:space="preserve">49 137 </w:t>
            </w:r>
          </w:p>
        </w:tc>
        <w:tc>
          <w:tcPr>
            <w:tcW w:w="73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right"/>
              <w:rPr>
                <w:sz w:val="24"/>
                <w:szCs w:val="24"/>
              </w:rPr>
            </w:pPr>
            <w:r w:rsidRPr="0026089E">
              <w:rPr>
                <w:sz w:val="24"/>
                <w:szCs w:val="24"/>
              </w:rPr>
              <w:t xml:space="preserve">63 811 </w:t>
            </w:r>
          </w:p>
        </w:tc>
        <w:tc>
          <w:tcPr>
            <w:tcW w:w="962"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left="194"/>
              <w:rPr>
                <w:sz w:val="24"/>
                <w:szCs w:val="24"/>
              </w:rPr>
            </w:pPr>
            <w:r w:rsidRPr="0026089E">
              <w:rPr>
                <w:sz w:val="24"/>
                <w:szCs w:val="24"/>
              </w:rPr>
              <w:t xml:space="preserve">68 018 </w:t>
            </w:r>
          </w:p>
        </w:tc>
        <w:tc>
          <w:tcPr>
            <w:tcW w:w="963"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0"/>
              <w:jc w:val="right"/>
              <w:rPr>
                <w:sz w:val="24"/>
                <w:szCs w:val="24"/>
              </w:rPr>
            </w:pPr>
            <w:r w:rsidRPr="0026089E">
              <w:rPr>
                <w:sz w:val="24"/>
                <w:szCs w:val="24"/>
              </w:rPr>
              <w:t xml:space="preserve">78 143 </w:t>
            </w:r>
          </w:p>
        </w:tc>
      </w:tr>
      <w:tr w:rsidR="00255930" w:rsidRPr="0026089E" w:rsidTr="00C029B9">
        <w:trPr>
          <w:trHeight w:val="389"/>
        </w:trPr>
        <w:tc>
          <w:tcPr>
            <w:tcW w:w="3538"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Ukazatel věřitelského rizika (v %) </w:t>
            </w:r>
          </w:p>
        </w:tc>
        <w:tc>
          <w:tcPr>
            <w:tcW w:w="11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62,6 </w:t>
            </w:r>
          </w:p>
        </w:tc>
        <w:tc>
          <w:tcPr>
            <w:tcW w:w="71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8"/>
              <w:jc w:val="right"/>
              <w:rPr>
                <w:sz w:val="24"/>
                <w:szCs w:val="24"/>
              </w:rPr>
            </w:pPr>
            <w:r w:rsidRPr="0026089E">
              <w:rPr>
                <w:sz w:val="24"/>
                <w:szCs w:val="24"/>
              </w:rPr>
              <w:t xml:space="preserve">45,8 </w:t>
            </w:r>
          </w:p>
        </w:tc>
        <w:tc>
          <w:tcPr>
            <w:tcW w:w="850"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44,5 </w:t>
            </w:r>
          </w:p>
        </w:tc>
        <w:tc>
          <w:tcPr>
            <w:tcW w:w="7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35,2 </w:t>
            </w:r>
          </w:p>
        </w:tc>
        <w:tc>
          <w:tcPr>
            <w:tcW w:w="962"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36,5 </w:t>
            </w:r>
          </w:p>
        </w:tc>
        <w:tc>
          <w:tcPr>
            <w:tcW w:w="96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39,8 </w:t>
            </w:r>
          </w:p>
        </w:tc>
      </w:tr>
      <w:tr w:rsidR="00255930" w:rsidRPr="0026089E" w:rsidTr="00C029B9">
        <w:trPr>
          <w:trHeight w:val="389"/>
        </w:trPr>
        <w:tc>
          <w:tcPr>
            <w:tcW w:w="3538"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Míra zadluženosti (v %) </w:t>
            </w:r>
          </w:p>
        </w:tc>
        <w:tc>
          <w:tcPr>
            <w:tcW w:w="11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252,3 </w:t>
            </w:r>
          </w:p>
        </w:tc>
        <w:tc>
          <w:tcPr>
            <w:tcW w:w="71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sz w:val="24"/>
                <w:szCs w:val="24"/>
              </w:rPr>
              <w:t xml:space="preserve">103,4 </w:t>
            </w:r>
          </w:p>
        </w:tc>
        <w:tc>
          <w:tcPr>
            <w:tcW w:w="850"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107,5 </w:t>
            </w:r>
          </w:p>
        </w:tc>
        <w:tc>
          <w:tcPr>
            <w:tcW w:w="7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65,1 </w:t>
            </w:r>
          </w:p>
        </w:tc>
        <w:tc>
          <w:tcPr>
            <w:tcW w:w="962"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70,9 </w:t>
            </w:r>
          </w:p>
        </w:tc>
        <w:tc>
          <w:tcPr>
            <w:tcW w:w="96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81,4 </w:t>
            </w:r>
          </w:p>
        </w:tc>
      </w:tr>
      <w:tr w:rsidR="00255930" w:rsidRPr="0026089E" w:rsidTr="00C029B9">
        <w:trPr>
          <w:trHeight w:val="392"/>
        </w:trPr>
        <w:tc>
          <w:tcPr>
            <w:tcW w:w="3538"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Koeficient samofinancování (v %) </w:t>
            </w:r>
          </w:p>
        </w:tc>
        <w:tc>
          <w:tcPr>
            <w:tcW w:w="11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24,8 </w:t>
            </w:r>
          </w:p>
        </w:tc>
        <w:tc>
          <w:tcPr>
            <w:tcW w:w="71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8"/>
              <w:jc w:val="right"/>
              <w:rPr>
                <w:sz w:val="24"/>
                <w:szCs w:val="24"/>
              </w:rPr>
            </w:pPr>
            <w:r w:rsidRPr="0026089E">
              <w:rPr>
                <w:sz w:val="24"/>
                <w:szCs w:val="24"/>
              </w:rPr>
              <w:t xml:space="preserve">44,3 </w:t>
            </w:r>
          </w:p>
        </w:tc>
        <w:tc>
          <w:tcPr>
            <w:tcW w:w="850"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41,4 </w:t>
            </w:r>
          </w:p>
        </w:tc>
        <w:tc>
          <w:tcPr>
            <w:tcW w:w="73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54,1 </w:t>
            </w:r>
          </w:p>
        </w:tc>
        <w:tc>
          <w:tcPr>
            <w:tcW w:w="962"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5"/>
              <w:jc w:val="right"/>
              <w:rPr>
                <w:sz w:val="24"/>
                <w:szCs w:val="24"/>
              </w:rPr>
            </w:pPr>
            <w:r w:rsidRPr="0026089E">
              <w:rPr>
                <w:sz w:val="24"/>
                <w:szCs w:val="24"/>
              </w:rPr>
              <w:t xml:space="preserve">51,5 </w:t>
            </w:r>
          </w:p>
        </w:tc>
        <w:tc>
          <w:tcPr>
            <w:tcW w:w="963"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48,9 </w:t>
            </w:r>
          </w:p>
        </w:tc>
      </w:tr>
    </w:tbl>
    <w:p w:rsidR="0026089E" w:rsidRPr="0026089E" w:rsidRDefault="0026089E" w:rsidP="0026089E">
      <w:pPr>
        <w:pStyle w:val="Nadpis5"/>
        <w:spacing w:after="0"/>
        <w:ind w:left="-5"/>
        <w:rPr>
          <w:rFonts w:asciiTheme="minorHAnsi" w:eastAsiaTheme="minorHAnsi" w:hAnsiTheme="minorHAnsi" w:cstheme="minorBidi"/>
          <w:b w:val="0"/>
          <w:color w:val="auto"/>
          <w:szCs w:val="24"/>
          <w:lang w:eastAsia="en-US"/>
        </w:rPr>
      </w:pPr>
    </w:p>
    <w:p w:rsidR="00255930" w:rsidRPr="0026089E" w:rsidRDefault="00255930" w:rsidP="0026089E">
      <w:pPr>
        <w:pStyle w:val="Nadpis5"/>
        <w:spacing w:after="0"/>
        <w:ind w:left="-5"/>
        <w:rPr>
          <w:rFonts w:asciiTheme="minorHAnsi" w:eastAsiaTheme="minorHAnsi" w:hAnsiTheme="minorHAnsi" w:cstheme="minorBidi"/>
          <w:b w:val="0"/>
          <w:color w:val="auto"/>
          <w:szCs w:val="24"/>
          <w:lang w:eastAsia="en-US"/>
        </w:rPr>
      </w:pPr>
      <w:r w:rsidRPr="0026089E">
        <w:rPr>
          <w:rFonts w:asciiTheme="minorHAnsi" w:eastAsiaTheme="minorHAnsi" w:hAnsiTheme="minorHAnsi" w:cstheme="minorBidi"/>
          <w:b w:val="0"/>
          <w:color w:val="auto"/>
          <w:szCs w:val="24"/>
          <w:lang w:eastAsia="en-US"/>
        </w:rPr>
        <w:t>Celková zadluženost (často též nazývána jako věřitelské riziko) ukazuje, do jaké míry byl majetek podniku kryt cizími zdroji – maximální možná hodnota tohoto ukazatele může být 100 %, a to v případě, kdy již podnik nedisponuje žádným vlastním kapitálem. Věřitelé upřednostňují, pokud je tento ukazatel co nejnižší, neboť tím větší je podíl vlastního kapitálu na celkových aktivech podniku, což případným věřitelům zajišťuje bezpečnostní polštář proti případným ztrátám. Protikladem celkové zadluženosti je koeficient samofinancování, který ukazuje, z kolika procent podnik využívá financování vlastními zdroji. Podobný význam, jako celková zadluženost, má také míra zadluženosti, která poměřuje cizí zdroje s vlastním kapitálem (v případě celkové zadluženosti cizí zdroje). Maximální hodnota není omezena hranicí 100 %, jelikož růst míry zadlužení roste exponenciálně, dle Sedláčka (2011) až k</w:t>
      </w:r>
      <w:r w:rsidRPr="0026089E">
        <w:rPr>
          <w:rFonts w:asciiTheme="minorHAnsi" w:eastAsiaTheme="minorHAnsi" w:hAnsiTheme="minorHAnsi" w:cstheme="minorBidi"/>
          <w:b w:val="0"/>
          <w:color w:val="auto"/>
          <w:szCs w:val="24"/>
          <w:lang w:eastAsia="en-US"/>
        </w:rPr>
        <w:t> </w:t>
      </w:r>
      <w:r w:rsidRPr="0026089E">
        <w:rPr>
          <w:rFonts w:asciiTheme="minorHAnsi" w:eastAsiaTheme="minorHAnsi" w:hAnsiTheme="minorHAnsi" w:cstheme="minorBidi"/>
          <w:b w:val="0"/>
          <w:color w:val="auto"/>
          <w:szCs w:val="24"/>
          <w:lang w:eastAsia="en-US"/>
        </w:rPr>
        <w:t>nekonečnu</w:t>
      </w:r>
      <w:r w:rsidRPr="0026089E">
        <w:rPr>
          <w:rFonts w:asciiTheme="minorHAnsi" w:eastAsiaTheme="minorHAnsi" w:hAnsiTheme="minorHAnsi" w:cstheme="minorBidi"/>
          <w:b w:val="0"/>
          <w:color w:val="auto"/>
          <w:szCs w:val="24"/>
          <w:lang w:eastAsia="en-US"/>
        </w:rPr>
        <w:t>.</w:t>
      </w:r>
    </w:p>
    <w:p w:rsidR="001B22DA" w:rsidRDefault="001B22DA" w:rsidP="0026089E">
      <w:pPr>
        <w:pStyle w:val="Nadpis5"/>
        <w:spacing w:after="0"/>
        <w:ind w:left="-5"/>
        <w:jc w:val="center"/>
        <w:rPr>
          <w:szCs w:val="24"/>
        </w:rPr>
      </w:pPr>
      <w:r w:rsidRPr="0026089E">
        <w:rPr>
          <w:szCs w:val="24"/>
        </w:rPr>
        <w:t>Čistý pracovní kapitál</w:t>
      </w:r>
    </w:p>
    <w:p w:rsidR="0026089E" w:rsidRPr="0026089E" w:rsidRDefault="0026089E" w:rsidP="0026089E">
      <w:pPr>
        <w:rPr>
          <w:lang w:eastAsia="cs-CZ"/>
        </w:rPr>
      </w:pPr>
    </w:p>
    <w:p w:rsidR="001B22DA" w:rsidRPr="0026089E" w:rsidRDefault="001B22DA" w:rsidP="0026089E">
      <w:pPr>
        <w:spacing w:after="0"/>
        <w:ind w:left="360" w:right="71"/>
        <w:rPr>
          <w:sz w:val="24"/>
          <w:szCs w:val="24"/>
        </w:rPr>
      </w:pPr>
      <w:r w:rsidRPr="0026089E">
        <w:rPr>
          <w:i/>
          <w:sz w:val="24"/>
          <w:szCs w:val="24"/>
        </w:rPr>
        <w:t>Čistý pracovní kapitál</w:t>
      </w:r>
      <w:r w:rsidRPr="0026089E">
        <w:rPr>
          <w:sz w:val="24"/>
          <w:szCs w:val="24"/>
        </w:rPr>
        <w:t xml:space="preserve"> = Oběžný majetek – Krátkodobé cizí zdroje = (Zásoby + Dlouhodobé pohledávky + Krátkodobé pohledávky + Krátkodobý finanční majetek) – (Krátkodobé závazky + Krátkodobé bankovní úvěry + Krátkodobé finanční výpomoci) </w:t>
      </w:r>
    </w:p>
    <w:tbl>
      <w:tblPr>
        <w:tblStyle w:val="TableGrid"/>
        <w:tblW w:w="8721" w:type="dxa"/>
        <w:tblInd w:w="-108" w:type="dxa"/>
        <w:tblCellMar>
          <w:top w:w="7" w:type="dxa"/>
          <w:left w:w="108" w:type="dxa"/>
          <w:right w:w="53" w:type="dxa"/>
        </w:tblCellMar>
        <w:tblLook w:val="04A0" w:firstRow="1" w:lastRow="0" w:firstColumn="1" w:lastColumn="0" w:noHBand="0" w:noVBand="1"/>
      </w:tblPr>
      <w:tblGrid>
        <w:gridCol w:w="2376"/>
        <w:gridCol w:w="1056"/>
        <w:gridCol w:w="1059"/>
        <w:gridCol w:w="1056"/>
        <w:gridCol w:w="1059"/>
        <w:gridCol w:w="1056"/>
        <w:gridCol w:w="1059"/>
      </w:tblGrid>
      <w:tr w:rsidR="0026089E" w:rsidRPr="0026089E" w:rsidTr="00255930">
        <w:trPr>
          <w:trHeight w:val="389"/>
        </w:trPr>
        <w:tc>
          <w:tcPr>
            <w:tcW w:w="237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rPr>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3"/>
              <w:jc w:val="center"/>
              <w:rPr>
                <w:sz w:val="24"/>
                <w:szCs w:val="24"/>
              </w:rPr>
            </w:pPr>
            <w:r w:rsidRPr="0026089E">
              <w:rPr>
                <w:b/>
                <w:sz w:val="24"/>
                <w:szCs w:val="24"/>
              </w:rPr>
              <w:t xml:space="preserve">2014 </w:t>
            </w:r>
          </w:p>
        </w:tc>
        <w:tc>
          <w:tcPr>
            <w:tcW w:w="1059"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1"/>
              <w:jc w:val="center"/>
              <w:rPr>
                <w:sz w:val="24"/>
                <w:szCs w:val="24"/>
              </w:rPr>
            </w:pPr>
            <w:r w:rsidRPr="0026089E">
              <w:rPr>
                <w:b/>
                <w:sz w:val="24"/>
                <w:szCs w:val="24"/>
              </w:rPr>
              <w:t>2015</w:t>
            </w:r>
          </w:p>
        </w:tc>
        <w:tc>
          <w:tcPr>
            <w:tcW w:w="105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4"/>
              <w:jc w:val="center"/>
              <w:rPr>
                <w:sz w:val="24"/>
                <w:szCs w:val="24"/>
              </w:rPr>
            </w:pPr>
            <w:r w:rsidRPr="0026089E">
              <w:rPr>
                <w:b/>
                <w:sz w:val="24"/>
                <w:szCs w:val="24"/>
              </w:rPr>
              <w:t>2016</w:t>
            </w:r>
          </w:p>
        </w:tc>
        <w:tc>
          <w:tcPr>
            <w:tcW w:w="1059"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2017</w:t>
            </w:r>
          </w:p>
        </w:tc>
        <w:tc>
          <w:tcPr>
            <w:tcW w:w="1056"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46"/>
              <w:jc w:val="center"/>
              <w:rPr>
                <w:sz w:val="24"/>
                <w:szCs w:val="24"/>
              </w:rPr>
            </w:pPr>
            <w:r w:rsidRPr="0026089E">
              <w:rPr>
                <w:b/>
                <w:sz w:val="24"/>
                <w:szCs w:val="24"/>
              </w:rPr>
              <w:t>2018</w:t>
            </w:r>
          </w:p>
        </w:tc>
        <w:tc>
          <w:tcPr>
            <w:tcW w:w="1059" w:type="dxa"/>
            <w:tcBorders>
              <w:top w:val="single" w:sz="4" w:space="0" w:color="000000"/>
              <w:left w:val="single" w:sz="4" w:space="0" w:color="000000"/>
              <w:bottom w:val="single" w:sz="4" w:space="0" w:color="000000"/>
              <w:right w:val="single" w:sz="4" w:space="0" w:color="000000"/>
            </w:tcBorders>
          </w:tcPr>
          <w:p w:rsidR="0026089E" w:rsidRPr="0026089E" w:rsidRDefault="0026089E" w:rsidP="0026089E">
            <w:pPr>
              <w:spacing w:line="259" w:lineRule="auto"/>
              <w:ind w:right="39"/>
              <w:jc w:val="center"/>
              <w:rPr>
                <w:sz w:val="24"/>
                <w:szCs w:val="24"/>
              </w:rPr>
            </w:pPr>
            <w:r w:rsidRPr="0026089E">
              <w:rPr>
                <w:b/>
                <w:sz w:val="24"/>
                <w:szCs w:val="24"/>
              </w:rPr>
              <w:t>2019</w:t>
            </w:r>
          </w:p>
        </w:tc>
      </w:tr>
      <w:tr w:rsidR="00255930" w:rsidRPr="0026089E" w:rsidTr="00255930">
        <w:trPr>
          <w:trHeight w:val="389"/>
        </w:trPr>
        <w:tc>
          <w:tcPr>
            <w:tcW w:w="237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Oběžná aktiva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163 106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79 301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88 570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80 335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92 642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115 588 </w:t>
            </w:r>
          </w:p>
        </w:tc>
      </w:tr>
      <w:tr w:rsidR="00255930" w:rsidRPr="0026089E" w:rsidTr="00255930">
        <w:trPr>
          <w:trHeight w:val="391"/>
        </w:trPr>
        <w:tc>
          <w:tcPr>
            <w:tcW w:w="237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Krátkodobé závazky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107 287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43 838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48 964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sz w:val="24"/>
                <w:szCs w:val="24"/>
              </w:rPr>
              <w:t xml:space="preserve">32 764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34 151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sz w:val="24"/>
                <w:szCs w:val="24"/>
              </w:rPr>
              <w:t xml:space="preserve">41 479 </w:t>
            </w:r>
          </w:p>
        </w:tc>
      </w:tr>
      <w:tr w:rsidR="00255930" w:rsidRPr="0026089E" w:rsidTr="00255930">
        <w:trPr>
          <w:trHeight w:val="389"/>
        </w:trPr>
        <w:tc>
          <w:tcPr>
            <w:tcW w:w="237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rPr>
                <w:sz w:val="24"/>
                <w:szCs w:val="24"/>
              </w:rPr>
            </w:pPr>
            <w:r w:rsidRPr="0026089E">
              <w:rPr>
                <w:b/>
                <w:sz w:val="24"/>
                <w:szCs w:val="24"/>
              </w:rPr>
              <w:t xml:space="preserve">ČPK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b/>
                <w:sz w:val="24"/>
                <w:szCs w:val="24"/>
              </w:rPr>
              <w:t xml:space="preserve">55 819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b/>
                <w:sz w:val="24"/>
                <w:szCs w:val="24"/>
              </w:rPr>
              <w:t xml:space="preserve">35 463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b/>
                <w:sz w:val="24"/>
                <w:szCs w:val="24"/>
              </w:rPr>
              <w:t xml:space="preserve">39 606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6"/>
              <w:jc w:val="right"/>
              <w:rPr>
                <w:sz w:val="24"/>
                <w:szCs w:val="24"/>
              </w:rPr>
            </w:pPr>
            <w:r w:rsidRPr="0026089E">
              <w:rPr>
                <w:b/>
                <w:sz w:val="24"/>
                <w:szCs w:val="24"/>
              </w:rPr>
              <w:t xml:space="preserve">47 571 </w:t>
            </w:r>
          </w:p>
        </w:tc>
        <w:tc>
          <w:tcPr>
            <w:tcW w:w="1056"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b/>
                <w:sz w:val="24"/>
                <w:szCs w:val="24"/>
              </w:rPr>
              <w:t xml:space="preserve">58 491 </w:t>
            </w:r>
          </w:p>
        </w:tc>
        <w:tc>
          <w:tcPr>
            <w:tcW w:w="1059" w:type="dxa"/>
            <w:tcBorders>
              <w:top w:val="single" w:sz="4" w:space="0" w:color="000000"/>
              <w:left w:val="single" w:sz="4" w:space="0" w:color="000000"/>
              <w:bottom w:val="single" w:sz="4" w:space="0" w:color="000000"/>
              <w:right w:val="single" w:sz="4" w:space="0" w:color="000000"/>
            </w:tcBorders>
          </w:tcPr>
          <w:p w:rsidR="00255930" w:rsidRPr="0026089E" w:rsidRDefault="00255930" w:rsidP="0026089E">
            <w:pPr>
              <w:spacing w:line="259" w:lineRule="auto"/>
              <w:ind w:right="53"/>
              <w:jc w:val="right"/>
              <w:rPr>
                <w:sz w:val="24"/>
                <w:szCs w:val="24"/>
              </w:rPr>
            </w:pPr>
            <w:r w:rsidRPr="0026089E">
              <w:rPr>
                <w:b/>
                <w:sz w:val="24"/>
                <w:szCs w:val="24"/>
              </w:rPr>
              <w:t xml:space="preserve">74 109 </w:t>
            </w:r>
          </w:p>
        </w:tc>
      </w:tr>
    </w:tbl>
    <w:p w:rsidR="0026089E" w:rsidRDefault="0026089E" w:rsidP="0026089E">
      <w:pPr>
        <w:spacing w:after="0"/>
        <w:rPr>
          <w:sz w:val="24"/>
          <w:szCs w:val="24"/>
        </w:rPr>
      </w:pPr>
    </w:p>
    <w:p w:rsidR="001B22DA" w:rsidRPr="0026089E" w:rsidRDefault="0026089E" w:rsidP="0026089E">
      <w:pPr>
        <w:spacing w:after="0"/>
        <w:rPr>
          <w:sz w:val="24"/>
          <w:szCs w:val="24"/>
        </w:rPr>
      </w:pPr>
      <w:bookmarkStart w:id="0" w:name="_GoBack"/>
      <w:bookmarkEnd w:id="0"/>
      <w:proofErr w:type="gramStart"/>
      <w:r w:rsidRPr="0026089E">
        <w:rPr>
          <w:sz w:val="24"/>
          <w:szCs w:val="24"/>
        </w:rPr>
        <w:t>P</w:t>
      </w:r>
      <w:r w:rsidR="00255930" w:rsidRPr="0026089E">
        <w:rPr>
          <w:sz w:val="24"/>
          <w:szCs w:val="24"/>
        </w:rPr>
        <w:t>odnik  je</w:t>
      </w:r>
      <w:proofErr w:type="gramEnd"/>
      <w:r w:rsidR="00255930" w:rsidRPr="0026089E">
        <w:rPr>
          <w:sz w:val="24"/>
          <w:szCs w:val="24"/>
        </w:rPr>
        <w:t xml:space="preserve"> „překapitalizován“, naznačují i výsledky poměru vlastního kapitálu a dlouhodobého majetku podniku. Jak uvádí Synek (2011), tak o překapitalizování se jedná v případě, kdy je tento poměr větší než 1, z čehož vyplývá, že by se měl podnik zaměřit na jeho snížení, neboť ve většině sledovaného období byly tyto hodnoty okolo 2. Pokud by se podniku podařilo v rámci optimalizace snížit poměr vlastního kapitálu a dlouhodobého majetku pod 1, jednalo by se zase o „</w:t>
      </w:r>
      <w:proofErr w:type="spellStart"/>
      <w:r w:rsidR="00255930" w:rsidRPr="0026089E">
        <w:rPr>
          <w:sz w:val="24"/>
          <w:szCs w:val="24"/>
        </w:rPr>
        <w:t>podkapitalizování</w:t>
      </w:r>
      <w:proofErr w:type="spellEnd"/>
      <w:r w:rsidR="00255930" w:rsidRPr="0026089E">
        <w:rPr>
          <w:sz w:val="24"/>
          <w:szCs w:val="24"/>
        </w:rPr>
        <w:t>“.</w:t>
      </w:r>
    </w:p>
    <w:sectPr w:rsidR="001B22DA" w:rsidRPr="0026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611"/>
    <w:multiLevelType w:val="hybridMultilevel"/>
    <w:tmpl w:val="7C927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CC555D"/>
    <w:multiLevelType w:val="hybridMultilevel"/>
    <w:tmpl w:val="247609CE"/>
    <w:lvl w:ilvl="0" w:tplc="7AA0CD9A">
      <w:start w:val="2"/>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17A6A5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C42095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2826A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AFA28A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83A863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1BE4B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42122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592C7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9A6533C"/>
    <w:multiLevelType w:val="hybridMultilevel"/>
    <w:tmpl w:val="C7E4F8E6"/>
    <w:lvl w:ilvl="0" w:tplc="2BF816A0">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8FF2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C1D58">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E9422">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4786A">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A6DC4">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EE836">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6496C">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603BE">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EB78DB"/>
    <w:multiLevelType w:val="hybridMultilevel"/>
    <w:tmpl w:val="7C6C9F40"/>
    <w:lvl w:ilvl="0" w:tplc="EAC2DCA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4807E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380A0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22C3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AD6C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6F3D6">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2792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69C5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C4DD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D75E3"/>
    <w:multiLevelType w:val="hybridMultilevel"/>
    <w:tmpl w:val="C9624F98"/>
    <w:lvl w:ilvl="0" w:tplc="DA4C4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AC5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2C0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6FC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481A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21C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A7F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22F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FEC6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537C3"/>
    <w:multiLevelType w:val="hybridMultilevel"/>
    <w:tmpl w:val="CDA4C694"/>
    <w:lvl w:ilvl="0" w:tplc="CA9099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0FA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C83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4F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AB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6BC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8D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32E3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EB8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D16D0"/>
    <w:multiLevelType w:val="hybridMultilevel"/>
    <w:tmpl w:val="B82AB76A"/>
    <w:lvl w:ilvl="0" w:tplc="0DC0E376">
      <w:start w:val="1"/>
      <w:numFmt w:val="bullet"/>
      <w:lvlText w:val="•"/>
      <w:lvlJc w:val="left"/>
      <w:pPr>
        <w:ind w:left="7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7087E58">
      <w:start w:val="1"/>
      <w:numFmt w:val="bullet"/>
      <w:lvlText w:val="o"/>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8AA20F36">
      <w:start w:val="1"/>
      <w:numFmt w:val="bullet"/>
      <w:lvlText w:val="▪"/>
      <w:lvlJc w:val="left"/>
      <w:pPr>
        <w:ind w:left="2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FB6ACB3A">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C68E446">
      <w:start w:val="1"/>
      <w:numFmt w:val="bullet"/>
      <w:lvlText w:val="o"/>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F45615F2">
      <w:start w:val="1"/>
      <w:numFmt w:val="bullet"/>
      <w:lvlText w:val="▪"/>
      <w:lvlJc w:val="left"/>
      <w:pPr>
        <w:ind w:left="4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4F6E855E">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80A2A2A">
      <w:start w:val="1"/>
      <w:numFmt w:val="bullet"/>
      <w:lvlText w:val="o"/>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E91804B0">
      <w:start w:val="1"/>
      <w:numFmt w:val="bullet"/>
      <w:lvlText w:val="▪"/>
      <w:lvlJc w:val="left"/>
      <w:pPr>
        <w:ind w:left="6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133B76EA"/>
    <w:multiLevelType w:val="hybridMultilevel"/>
    <w:tmpl w:val="99002910"/>
    <w:lvl w:ilvl="0" w:tplc="C778EE3A">
      <w:start w:val="1"/>
      <w:numFmt w:val="decimal"/>
      <w:lvlText w:val="%1."/>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6C7E6">
      <w:start w:val="1"/>
      <w:numFmt w:val="lowerLetter"/>
      <w:lvlText w:val="%2"/>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25FE0">
      <w:start w:val="1"/>
      <w:numFmt w:val="lowerRoman"/>
      <w:lvlText w:val="%3"/>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6E516">
      <w:start w:val="1"/>
      <w:numFmt w:val="decimal"/>
      <w:lvlText w:val="%4"/>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44CD6">
      <w:start w:val="1"/>
      <w:numFmt w:val="lowerLetter"/>
      <w:lvlText w:val="%5"/>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48F2">
      <w:start w:val="1"/>
      <w:numFmt w:val="lowerRoman"/>
      <w:lvlText w:val="%6"/>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C5624">
      <w:start w:val="1"/>
      <w:numFmt w:val="decimal"/>
      <w:lvlText w:val="%7"/>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22448">
      <w:start w:val="1"/>
      <w:numFmt w:val="lowerLetter"/>
      <w:lvlText w:val="%8"/>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8F94A">
      <w:start w:val="1"/>
      <w:numFmt w:val="lowerRoman"/>
      <w:lvlText w:val="%9"/>
      <w:lvlJc w:val="left"/>
      <w:pPr>
        <w:ind w:left="7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70E40"/>
    <w:multiLevelType w:val="hybridMultilevel"/>
    <w:tmpl w:val="E200DA20"/>
    <w:lvl w:ilvl="0" w:tplc="A5DA297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220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C24F4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00F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EB97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C2C9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C493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AA49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5484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61D13"/>
    <w:multiLevelType w:val="hybridMultilevel"/>
    <w:tmpl w:val="26DC36D6"/>
    <w:lvl w:ilvl="0" w:tplc="357415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4D0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E83E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6CA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27E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A5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88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24F8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C64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906800"/>
    <w:multiLevelType w:val="hybridMultilevel"/>
    <w:tmpl w:val="28D604F0"/>
    <w:lvl w:ilvl="0" w:tplc="D4460C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E47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21C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C9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6C0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CE1D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436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E8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A01E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3A38C3"/>
    <w:multiLevelType w:val="hybridMultilevel"/>
    <w:tmpl w:val="BFA4914C"/>
    <w:lvl w:ilvl="0" w:tplc="742C51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ED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98BF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70C9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4C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189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7295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078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C6A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8910DE"/>
    <w:multiLevelType w:val="hybridMultilevel"/>
    <w:tmpl w:val="A5B4973E"/>
    <w:lvl w:ilvl="0" w:tplc="9210E9C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0BFA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6CE30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80C4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E87D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DCFBC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E04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7E0E">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4B9E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986C6B"/>
    <w:multiLevelType w:val="hybridMultilevel"/>
    <w:tmpl w:val="0120A012"/>
    <w:lvl w:ilvl="0" w:tplc="66B6EBC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7C033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D6921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E3B3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0AAA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827D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B472A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25AD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2981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EB190E"/>
    <w:multiLevelType w:val="hybridMultilevel"/>
    <w:tmpl w:val="C7965C7C"/>
    <w:lvl w:ilvl="0" w:tplc="8CC6028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A1C1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0351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2634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6E3B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28B8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CB56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25B8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C614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E4F76"/>
    <w:multiLevelType w:val="hybridMultilevel"/>
    <w:tmpl w:val="3AA43660"/>
    <w:lvl w:ilvl="0" w:tplc="58D8AA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03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F255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3256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028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60DF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58D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CE2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9C15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F1183B"/>
    <w:multiLevelType w:val="hybridMultilevel"/>
    <w:tmpl w:val="A25088F8"/>
    <w:lvl w:ilvl="0" w:tplc="FFBEBC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C3A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6A4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1AC4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E3A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83F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6A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031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06E5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1C1D48"/>
    <w:multiLevelType w:val="hybridMultilevel"/>
    <w:tmpl w:val="EFF87D4C"/>
    <w:lvl w:ilvl="0" w:tplc="3E84C388">
      <w:start w:val="1"/>
      <w:numFmt w:val="bullet"/>
      <w:lvlText w:val="•"/>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A30CA">
      <w:start w:val="1"/>
      <w:numFmt w:val="bullet"/>
      <w:lvlText w:val="o"/>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E77A0">
      <w:start w:val="1"/>
      <w:numFmt w:val="bullet"/>
      <w:lvlText w:val="▪"/>
      <w:lvlJc w:val="left"/>
      <w:pPr>
        <w:ind w:left="2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86BB0">
      <w:start w:val="1"/>
      <w:numFmt w:val="bullet"/>
      <w:lvlText w:val="•"/>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EDC6C">
      <w:start w:val="1"/>
      <w:numFmt w:val="bullet"/>
      <w:lvlText w:val="o"/>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A06F0C">
      <w:start w:val="1"/>
      <w:numFmt w:val="bullet"/>
      <w:lvlText w:val="▪"/>
      <w:lvlJc w:val="left"/>
      <w:pPr>
        <w:ind w:left="4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64294">
      <w:start w:val="1"/>
      <w:numFmt w:val="bullet"/>
      <w:lvlText w:val="•"/>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E0C6E6">
      <w:start w:val="1"/>
      <w:numFmt w:val="bullet"/>
      <w:lvlText w:val="o"/>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E041E">
      <w:start w:val="1"/>
      <w:numFmt w:val="bullet"/>
      <w:lvlText w:val="▪"/>
      <w:lvlJc w:val="left"/>
      <w:pPr>
        <w:ind w:left="6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264307"/>
    <w:multiLevelType w:val="hybridMultilevel"/>
    <w:tmpl w:val="653AEC8C"/>
    <w:lvl w:ilvl="0" w:tplc="7D92F2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6F5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CE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7C08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1EFA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C8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E24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C9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020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20567E"/>
    <w:multiLevelType w:val="hybridMultilevel"/>
    <w:tmpl w:val="E8F00720"/>
    <w:lvl w:ilvl="0" w:tplc="D52A35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44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8D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E22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29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A0B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C79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EC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7840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EF04BE"/>
    <w:multiLevelType w:val="hybridMultilevel"/>
    <w:tmpl w:val="599C0D32"/>
    <w:lvl w:ilvl="0" w:tplc="B64CFD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B653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5E0E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E44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C3B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4ED3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4E2E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C5E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08FE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F93EE1"/>
    <w:multiLevelType w:val="hybridMultilevel"/>
    <w:tmpl w:val="1FB85EF6"/>
    <w:lvl w:ilvl="0" w:tplc="7F882C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7EB2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8A6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053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8F6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C5F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4F4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867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05C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441BA6"/>
    <w:multiLevelType w:val="hybridMultilevel"/>
    <w:tmpl w:val="AE9E64B4"/>
    <w:lvl w:ilvl="0" w:tplc="A1D637DC">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E4D52A">
      <w:start w:val="1"/>
      <w:numFmt w:val="bullet"/>
      <w:lvlText w:val="o"/>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30ADF4">
      <w:start w:val="1"/>
      <w:numFmt w:val="bullet"/>
      <w:lvlText w:val="▪"/>
      <w:lvlJc w:val="left"/>
      <w:pPr>
        <w:ind w:left="2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725C08">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A58E6">
      <w:start w:val="1"/>
      <w:numFmt w:val="bullet"/>
      <w:lvlText w:val="o"/>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EC9EE8">
      <w:start w:val="1"/>
      <w:numFmt w:val="bullet"/>
      <w:lvlText w:val="▪"/>
      <w:lvlJc w:val="left"/>
      <w:pPr>
        <w:ind w:left="5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122206">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A0E218">
      <w:start w:val="1"/>
      <w:numFmt w:val="bullet"/>
      <w:lvlText w:val="o"/>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482D4">
      <w:start w:val="1"/>
      <w:numFmt w:val="bullet"/>
      <w:lvlText w:val="▪"/>
      <w:lvlJc w:val="left"/>
      <w:pPr>
        <w:ind w:left="7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2421C2"/>
    <w:multiLevelType w:val="hybridMultilevel"/>
    <w:tmpl w:val="A0543732"/>
    <w:lvl w:ilvl="0" w:tplc="034A9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425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86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26E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8AE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487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66F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82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21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2D614C"/>
    <w:multiLevelType w:val="hybridMultilevel"/>
    <w:tmpl w:val="F842C25E"/>
    <w:lvl w:ilvl="0" w:tplc="1FA45528">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CE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04B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CA7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AE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625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4D1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AAE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C20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122FED"/>
    <w:multiLevelType w:val="hybridMultilevel"/>
    <w:tmpl w:val="91284376"/>
    <w:lvl w:ilvl="0" w:tplc="6BB0A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9A5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C2F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20D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E00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AFB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602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07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803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6A2AF6"/>
    <w:multiLevelType w:val="hybridMultilevel"/>
    <w:tmpl w:val="A71098B8"/>
    <w:lvl w:ilvl="0" w:tplc="420E660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6E0AB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C7E0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850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2B40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02708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A63DC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A96F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4B7D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5B3CD5"/>
    <w:multiLevelType w:val="hybridMultilevel"/>
    <w:tmpl w:val="EBDCE668"/>
    <w:lvl w:ilvl="0" w:tplc="CD76BF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2927C">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E5316">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088842">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5E6A30">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A43F00">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3EEF52">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0B2B0">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84FC56">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8E3345"/>
    <w:multiLevelType w:val="hybridMultilevel"/>
    <w:tmpl w:val="2EAAB246"/>
    <w:lvl w:ilvl="0" w:tplc="9C7013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26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213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04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42E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1C22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3CCE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2F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C6FE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777D63"/>
    <w:multiLevelType w:val="hybridMultilevel"/>
    <w:tmpl w:val="0CA46FE8"/>
    <w:lvl w:ilvl="0" w:tplc="836C599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07BB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ADE9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04F7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2763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20C8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8120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EE17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4420E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1B7C9A"/>
    <w:multiLevelType w:val="hybridMultilevel"/>
    <w:tmpl w:val="D13695BA"/>
    <w:lvl w:ilvl="0" w:tplc="9DD0C4A8">
      <w:start w:val="1"/>
      <w:numFmt w:val="bullet"/>
      <w:lvlText w:val="•"/>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88928">
      <w:start w:val="1"/>
      <w:numFmt w:val="bullet"/>
      <w:lvlText w:val="o"/>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84B3E">
      <w:start w:val="1"/>
      <w:numFmt w:val="bullet"/>
      <w:lvlText w:val="▪"/>
      <w:lvlJc w:val="left"/>
      <w:pPr>
        <w:ind w:left="2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6ABEE">
      <w:start w:val="1"/>
      <w:numFmt w:val="bullet"/>
      <w:lvlText w:val="•"/>
      <w:lvlJc w:val="left"/>
      <w:pPr>
        <w:ind w:left="3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A64B2">
      <w:start w:val="1"/>
      <w:numFmt w:val="bullet"/>
      <w:lvlText w:val="o"/>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68F5C4">
      <w:start w:val="1"/>
      <w:numFmt w:val="bullet"/>
      <w:lvlText w:val="▪"/>
      <w:lvlJc w:val="left"/>
      <w:pPr>
        <w:ind w:left="5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CF5FE">
      <w:start w:val="1"/>
      <w:numFmt w:val="bullet"/>
      <w:lvlText w:val="•"/>
      <w:lvlJc w:val="left"/>
      <w:pPr>
        <w:ind w:left="5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18EBB6">
      <w:start w:val="1"/>
      <w:numFmt w:val="bullet"/>
      <w:lvlText w:val="o"/>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C491A">
      <w:start w:val="1"/>
      <w:numFmt w:val="bullet"/>
      <w:lvlText w:val="▪"/>
      <w:lvlJc w:val="left"/>
      <w:pPr>
        <w:ind w:left="7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8"/>
  </w:num>
  <w:num w:numId="3">
    <w:abstractNumId w:val="19"/>
  </w:num>
  <w:num w:numId="4">
    <w:abstractNumId w:val="17"/>
  </w:num>
  <w:num w:numId="5">
    <w:abstractNumId w:val="12"/>
  </w:num>
  <w:num w:numId="6">
    <w:abstractNumId w:val="8"/>
  </w:num>
  <w:num w:numId="7">
    <w:abstractNumId w:val="1"/>
  </w:num>
  <w:num w:numId="8">
    <w:abstractNumId w:val="18"/>
  </w:num>
  <w:num w:numId="9">
    <w:abstractNumId w:val="6"/>
  </w:num>
  <w:num w:numId="10">
    <w:abstractNumId w:val="5"/>
  </w:num>
  <w:num w:numId="11">
    <w:abstractNumId w:val="29"/>
  </w:num>
  <w:num w:numId="12">
    <w:abstractNumId w:val="7"/>
  </w:num>
  <w:num w:numId="13">
    <w:abstractNumId w:val="3"/>
  </w:num>
  <w:num w:numId="14">
    <w:abstractNumId w:val="2"/>
  </w:num>
  <w:num w:numId="15">
    <w:abstractNumId w:val="30"/>
  </w:num>
  <w:num w:numId="16">
    <w:abstractNumId w:val="22"/>
  </w:num>
  <w:num w:numId="17">
    <w:abstractNumId w:val="14"/>
  </w:num>
  <w:num w:numId="18">
    <w:abstractNumId w:val="21"/>
  </w:num>
  <w:num w:numId="19">
    <w:abstractNumId w:val="23"/>
  </w:num>
  <w:num w:numId="20">
    <w:abstractNumId w:val="26"/>
  </w:num>
  <w:num w:numId="21">
    <w:abstractNumId w:val="13"/>
  </w:num>
  <w:num w:numId="22">
    <w:abstractNumId w:val="11"/>
  </w:num>
  <w:num w:numId="23">
    <w:abstractNumId w:val="9"/>
  </w:num>
  <w:num w:numId="24">
    <w:abstractNumId w:val="10"/>
  </w:num>
  <w:num w:numId="25">
    <w:abstractNumId w:val="16"/>
  </w:num>
  <w:num w:numId="26">
    <w:abstractNumId w:val="24"/>
  </w:num>
  <w:num w:numId="27">
    <w:abstractNumId w:val="15"/>
  </w:num>
  <w:num w:numId="28">
    <w:abstractNumId w:val="20"/>
  </w:num>
  <w:num w:numId="29">
    <w:abstractNumId w:val="25"/>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EF"/>
    <w:rsid w:val="000C4514"/>
    <w:rsid w:val="00156784"/>
    <w:rsid w:val="001B22DA"/>
    <w:rsid w:val="00255930"/>
    <w:rsid w:val="0026089E"/>
    <w:rsid w:val="002B77CC"/>
    <w:rsid w:val="002E648D"/>
    <w:rsid w:val="003C1B15"/>
    <w:rsid w:val="003C2690"/>
    <w:rsid w:val="004806AE"/>
    <w:rsid w:val="00497018"/>
    <w:rsid w:val="00552713"/>
    <w:rsid w:val="00552D45"/>
    <w:rsid w:val="005C3FBA"/>
    <w:rsid w:val="006426EF"/>
    <w:rsid w:val="006A2ED2"/>
    <w:rsid w:val="006D6016"/>
    <w:rsid w:val="00701BF1"/>
    <w:rsid w:val="00742717"/>
    <w:rsid w:val="007A416E"/>
    <w:rsid w:val="007D42EF"/>
    <w:rsid w:val="00804D79"/>
    <w:rsid w:val="00816BF2"/>
    <w:rsid w:val="008201F6"/>
    <w:rsid w:val="008613C6"/>
    <w:rsid w:val="00891596"/>
    <w:rsid w:val="008B3C98"/>
    <w:rsid w:val="009049B3"/>
    <w:rsid w:val="00A170E8"/>
    <w:rsid w:val="00A8521A"/>
    <w:rsid w:val="00AA6F66"/>
    <w:rsid w:val="00AB2C16"/>
    <w:rsid w:val="00B64C3C"/>
    <w:rsid w:val="00BA1D48"/>
    <w:rsid w:val="00BC61E5"/>
    <w:rsid w:val="00C72DFA"/>
    <w:rsid w:val="00D30381"/>
    <w:rsid w:val="00DB0427"/>
    <w:rsid w:val="00DE64AE"/>
    <w:rsid w:val="00E554CF"/>
    <w:rsid w:val="00F52AEA"/>
    <w:rsid w:val="00F84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688C"/>
  <w15:chartTrackingRefBased/>
  <w15:docId w15:val="{B7C791F5-8521-483A-B238-68538CF6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uiPriority w:val="9"/>
    <w:qFormat/>
    <w:rsid w:val="007D42EF"/>
    <w:pPr>
      <w:keepNext/>
      <w:keepLines/>
      <w:spacing w:after="155"/>
      <w:ind w:left="10" w:hanging="10"/>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7D42EF"/>
    <w:pPr>
      <w:keepNext/>
      <w:keepLines/>
      <w:spacing w:after="155"/>
      <w:ind w:left="10" w:hanging="10"/>
      <w:outlineLvl w:val="1"/>
    </w:pPr>
    <w:rPr>
      <w:rFonts w:ascii="Arial" w:eastAsia="Arial" w:hAnsi="Arial" w:cs="Arial"/>
      <w:b/>
      <w:color w:val="000000"/>
      <w:sz w:val="24"/>
      <w:lang w:eastAsia="cs-CZ"/>
    </w:rPr>
  </w:style>
  <w:style w:type="paragraph" w:styleId="Nadpis3">
    <w:name w:val="heading 3"/>
    <w:next w:val="Normln"/>
    <w:link w:val="Nadpis3Char"/>
    <w:uiPriority w:val="9"/>
    <w:unhideWhenUsed/>
    <w:qFormat/>
    <w:rsid w:val="007D42EF"/>
    <w:pPr>
      <w:keepNext/>
      <w:keepLines/>
      <w:spacing w:after="155"/>
      <w:ind w:left="10" w:hanging="10"/>
      <w:outlineLvl w:val="2"/>
    </w:pPr>
    <w:rPr>
      <w:rFonts w:ascii="Arial" w:eastAsia="Arial" w:hAnsi="Arial" w:cs="Arial"/>
      <w:b/>
      <w:color w:val="000000"/>
      <w:sz w:val="24"/>
      <w:lang w:eastAsia="cs-CZ"/>
    </w:rPr>
  </w:style>
  <w:style w:type="paragraph" w:styleId="Nadpis4">
    <w:name w:val="heading 4"/>
    <w:next w:val="Normln"/>
    <w:link w:val="Nadpis4Char"/>
    <w:uiPriority w:val="9"/>
    <w:unhideWhenUsed/>
    <w:qFormat/>
    <w:rsid w:val="007D42EF"/>
    <w:pPr>
      <w:keepNext/>
      <w:keepLines/>
      <w:spacing w:after="155"/>
      <w:ind w:left="10" w:hanging="10"/>
      <w:outlineLvl w:val="3"/>
    </w:pPr>
    <w:rPr>
      <w:rFonts w:ascii="Arial" w:eastAsia="Arial" w:hAnsi="Arial" w:cs="Arial"/>
      <w:b/>
      <w:color w:val="000000"/>
      <w:sz w:val="24"/>
      <w:lang w:eastAsia="cs-CZ"/>
    </w:rPr>
  </w:style>
  <w:style w:type="paragraph" w:styleId="Nadpis5">
    <w:name w:val="heading 5"/>
    <w:next w:val="Normln"/>
    <w:link w:val="Nadpis5Char"/>
    <w:uiPriority w:val="9"/>
    <w:unhideWhenUsed/>
    <w:qFormat/>
    <w:rsid w:val="007D42EF"/>
    <w:pPr>
      <w:keepNext/>
      <w:keepLines/>
      <w:spacing w:after="107" w:line="261" w:lineRule="auto"/>
      <w:ind w:left="10" w:right="47" w:hanging="10"/>
      <w:outlineLvl w:val="4"/>
    </w:pPr>
    <w:rPr>
      <w:rFonts w:ascii="Times New Roman" w:eastAsia="Times New Roman" w:hAnsi="Times New Roman" w:cs="Times New Roman"/>
      <w:b/>
      <w:color w:val="000000"/>
      <w:sz w:val="24"/>
      <w:lang w:eastAsia="cs-CZ"/>
    </w:rPr>
  </w:style>
  <w:style w:type="paragraph" w:styleId="Nadpis6">
    <w:name w:val="heading 6"/>
    <w:next w:val="Normln"/>
    <w:link w:val="Nadpis6Char"/>
    <w:uiPriority w:val="9"/>
    <w:unhideWhenUsed/>
    <w:qFormat/>
    <w:rsid w:val="007D42EF"/>
    <w:pPr>
      <w:keepNext/>
      <w:keepLines/>
      <w:spacing w:after="155"/>
      <w:ind w:left="10" w:hanging="10"/>
      <w:outlineLvl w:val="5"/>
    </w:pPr>
    <w:rPr>
      <w:rFonts w:ascii="Arial" w:eastAsia="Arial" w:hAnsi="Arial" w:cs="Arial"/>
      <w:b/>
      <w:color w:val="000000"/>
      <w:sz w:val="24"/>
      <w:lang w:eastAsia="cs-CZ"/>
    </w:rPr>
  </w:style>
  <w:style w:type="paragraph" w:styleId="Nadpis7">
    <w:name w:val="heading 7"/>
    <w:next w:val="Normln"/>
    <w:link w:val="Nadpis7Char"/>
    <w:uiPriority w:val="9"/>
    <w:unhideWhenUsed/>
    <w:qFormat/>
    <w:rsid w:val="007D42EF"/>
    <w:pPr>
      <w:keepNext/>
      <w:keepLines/>
      <w:spacing w:after="155"/>
      <w:ind w:left="10" w:hanging="10"/>
      <w:outlineLvl w:val="6"/>
    </w:pPr>
    <w:rPr>
      <w:rFonts w:ascii="Arial" w:eastAsia="Arial" w:hAnsi="Arial" w:cs="Arial"/>
      <w:b/>
      <w:color w:val="000000"/>
      <w:sz w:val="24"/>
      <w:lang w:eastAsia="cs-CZ"/>
    </w:rPr>
  </w:style>
  <w:style w:type="paragraph" w:styleId="Nadpis8">
    <w:name w:val="heading 8"/>
    <w:next w:val="Normln"/>
    <w:link w:val="Nadpis8Char"/>
    <w:uiPriority w:val="9"/>
    <w:unhideWhenUsed/>
    <w:qFormat/>
    <w:rsid w:val="007D42EF"/>
    <w:pPr>
      <w:keepNext/>
      <w:keepLines/>
      <w:spacing w:after="0"/>
      <w:ind w:left="10" w:hanging="10"/>
      <w:outlineLvl w:val="7"/>
    </w:pPr>
    <w:rPr>
      <w:rFonts w:ascii="Calibri" w:eastAsia="Calibri" w:hAnsi="Calibri" w:cs="Calibri"/>
      <w:b/>
      <w:color w:val="000000"/>
      <w:sz w:val="18"/>
      <w:lang w:eastAsia="cs-CZ"/>
    </w:rPr>
  </w:style>
  <w:style w:type="paragraph" w:styleId="Nadpis9">
    <w:name w:val="heading 9"/>
    <w:next w:val="Normln"/>
    <w:link w:val="Nadpis9Char"/>
    <w:uiPriority w:val="9"/>
    <w:unhideWhenUsed/>
    <w:qFormat/>
    <w:rsid w:val="007D42EF"/>
    <w:pPr>
      <w:keepNext/>
      <w:keepLines/>
      <w:spacing w:after="0"/>
      <w:ind w:left="10" w:hanging="10"/>
      <w:outlineLvl w:val="8"/>
    </w:pPr>
    <w:rPr>
      <w:rFonts w:ascii="Calibri" w:eastAsia="Calibri" w:hAnsi="Calibri" w:cs="Calibri"/>
      <w:b/>
      <w:color w:val="000000"/>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42EF"/>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7D42EF"/>
    <w:rPr>
      <w:rFonts w:ascii="Arial" w:eastAsia="Arial" w:hAnsi="Arial" w:cs="Arial"/>
      <w:b/>
      <w:color w:val="000000"/>
      <w:sz w:val="24"/>
      <w:lang w:eastAsia="cs-CZ"/>
    </w:rPr>
  </w:style>
  <w:style w:type="character" w:customStyle="1" w:styleId="Nadpis3Char">
    <w:name w:val="Nadpis 3 Char"/>
    <w:basedOn w:val="Standardnpsmoodstavce"/>
    <w:link w:val="Nadpis3"/>
    <w:uiPriority w:val="9"/>
    <w:rsid w:val="007D42EF"/>
    <w:rPr>
      <w:rFonts w:ascii="Arial" w:eastAsia="Arial" w:hAnsi="Arial" w:cs="Arial"/>
      <w:b/>
      <w:color w:val="000000"/>
      <w:sz w:val="24"/>
      <w:lang w:eastAsia="cs-CZ"/>
    </w:rPr>
  </w:style>
  <w:style w:type="character" w:customStyle="1" w:styleId="Nadpis4Char">
    <w:name w:val="Nadpis 4 Char"/>
    <w:basedOn w:val="Standardnpsmoodstavce"/>
    <w:link w:val="Nadpis4"/>
    <w:uiPriority w:val="9"/>
    <w:rsid w:val="007D42EF"/>
    <w:rPr>
      <w:rFonts w:ascii="Arial" w:eastAsia="Arial" w:hAnsi="Arial" w:cs="Arial"/>
      <w:b/>
      <w:color w:val="000000"/>
      <w:sz w:val="24"/>
      <w:lang w:eastAsia="cs-CZ"/>
    </w:rPr>
  </w:style>
  <w:style w:type="character" w:customStyle="1" w:styleId="Nadpis5Char">
    <w:name w:val="Nadpis 5 Char"/>
    <w:basedOn w:val="Standardnpsmoodstavce"/>
    <w:link w:val="Nadpis5"/>
    <w:rsid w:val="007D42EF"/>
    <w:rPr>
      <w:rFonts w:ascii="Times New Roman" w:eastAsia="Times New Roman" w:hAnsi="Times New Roman" w:cs="Times New Roman"/>
      <w:b/>
      <w:color w:val="000000"/>
      <w:sz w:val="24"/>
      <w:lang w:eastAsia="cs-CZ"/>
    </w:rPr>
  </w:style>
  <w:style w:type="character" w:customStyle="1" w:styleId="Nadpis6Char">
    <w:name w:val="Nadpis 6 Char"/>
    <w:basedOn w:val="Standardnpsmoodstavce"/>
    <w:link w:val="Nadpis6"/>
    <w:uiPriority w:val="9"/>
    <w:rsid w:val="007D42EF"/>
    <w:rPr>
      <w:rFonts w:ascii="Arial" w:eastAsia="Arial" w:hAnsi="Arial" w:cs="Arial"/>
      <w:b/>
      <w:color w:val="000000"/>
      <w:sz w:val="24"/>
      <w:lang w:eastAsia="cs-CZ"/>
    </w:rPr>
  </w:style>
  <w:style w:type="character" w:customStyle="1" w:styleId="Nadpis7Char">
    <w:name w:val="Nadpis 7 Char"/>
    <w:basedOn w:val="Standardnpsmoodstavce"/>
    <w:link w:val="Nadpis7"/>
    <w:uiPriority w:val="9"/>
    <w:rsid w:val="007D42EF"/>
    <w:rPr>
      <w:rFonts w:ascii="Arial" w:eastAsia="Arial" w:hAnsi="Arial" w:cs="Arial"/>
      <w:b/>
      <w:color w:val="000000"/>
      <w:sz w:val="24"/>
      <w:lang w:eastAsia="cs-CZ"/>
    </w:rPr>
  </w:style>
  <w:style w:type="character" w:customStyle="1" w:styleId="Nadpis8Char">
    <w:name w:val="Nadpis 8 Char"/>
    <w:basedOn w:val="Standardnpsmoodstavce"/>
    <w:link w:val="Nadpis8"/>
    <w:uiPriority w:val="9"/>
    <w:rsid w:val="007D42EF"/>
    <w:rPr>
      <w:rFonts w:ascii="Calibri" w:eastAsia="Calibri" w:hAnsi="Calibri" w:cs="Calibri"/>
      <w:b/>
      <w:color w:val="000000"/>
      <w:sz w:val="18"/>
      <w:lang w:eastAsia="cs-CZ"/>
    </w:rPr>
  </w:style>
  <w:style w:type="character" w:customStyle="1" w:styleId="Nadpis9Char">
    <w:name w:val="Nadpis 9 Char"/>
    <w:basedOn w:val="Standardnpsmoodstavce"/>
    <w:link w:val="Nadpis9"/>
    <w:uiPriority w:val="9"/>
    <w:rsid w:val="007D42EF"/>
    <w:rPr>
      <w:rFonts w:ascii="Calibri" w:eastAsia="Calibri" w:hAnsi="Calibri" w:cs="Calibri"/>
      <w:b/>
      <w:color w:val="000000"/>
      <w:sz w:val="18"/>
      <w:lang w:eastAsia="cs-CZ"/>
    </w:rPr>
  </w:style>
  <w:style w:type="paragraph" w:customStyle="1" w:styleId="footnotedescription">
    <w:name w:val="footnote description"/>
    <w:next w:val="Normln"/>
    <w:link w:val="footnotedescriptionChar"/>
    <w:hidden/>
    <w:rsid w:val="007D42EF"/>
    <w:pPr>
      <w:spacing w:after="0"/>
    </w:pPr>
    <w:rPr>
      <w:rFonts w:ascii="Calibri" w:eastAsia="Calibri" w:hAnsi="Calibri" w:cs="Calibri"/>
      <w:color w:val="000000"/>
      <w:sz w:val="20"/>
      <w:lang w:eastAsia="cs-CZ"/>
    </w:rPr>
  </w:style>
  <w:style w:type="character" w:customStyle="1" w:styleId="footnotedescriptionChar">
    <w:name w:val="footnote description Char"/>
    <w:link w:val="footnotedescription"/>
    <w:rsid w:val="007D42EF"/>
    <w:rPr>
      <w:rFonts w:ascii="Calibri" w:eastAsia="Calibri" w:hAnsi="Calibri" w:cs="Calibri"/>
      <w:color w:val="000000"/>
      <w:sz w:val="20"/>
      <w:lang w:eastAsia="cs-CZ"/>
    </w:rPr>
  </w:style>
  <w:style w:type="paragraph" w:styleId="Obsah1">
    <w:name w:val="toc 1"/>
    <w:hidden/>
    <w:rsid w:val="007D42EF"/>
    <w:pPr>
      <w:spacing w:after="123"/>
      <w:ind w:left="25" w:right="87" w:hanging="10"/>
      <w:jc w:val="both"/>
    </w:pPr>
    <w:rPr>
      <w:rFonts w:ascii="Calibri" w:eastAsia="Calibri" w:hAnsi="Calibri" w:cs="Calibri"/>
      <w:color w:val="000000"/>
      <w:lang w:eastAsia="cs-CZ"/>
    </w:rPr>
  </w:style>
  <w:style w:type="paragraph" w:styleId="Obsah2">
    <w:name w:val="toc 2"/>
    <w:hidden/>
    <w:rsid w:val="007D42EF"/>
    <w:pPr>
      <w:spacing w:after="153"/>
      <w:ind w:left="25" w:right="87" w:hanging="10"/>
      <w:jc w:val="both"/>
    </w:pPr>
    <w:rPr>
      <w:rFonts w:ascii="Calibri" w:eastAsia="Calibri" w:hAnsi="Calibri" w:cs="Calibri"/>
      <w:color w:val="000000"/>
      <w:lang w:eastAsia="cs-CZ"/>
    </w:rPr>
  </w:style>
  <w:style w:type="paragraph" w:styleId="Obsah3">
    <w:name w:val="toc 3"/>
    <w:hidden/>
    <w:rsid w:val="007D42EF"/>
    <w:pPr>
      <w:spacing w:after="153"/>
      <w:ind w:left="25" w:right="94" w:hanging="10"/>
      <w:jc w:val="both"/>
    </w:pPr>
    <w:rPr>
      <w:rFonts w:ascii="Calibri" w:eastAsia="Calibri" w:hAnsi="Calibri" w:cs="Calibri"/>
      <w:color w:val="000000"/>
      <w:lang w:eastAsia="cs-CZ"/>
    </w:rPr>
  </w:style>
  <w:style w:type="character" w:customStyle="1" w:styleId="footnotemark">
    <w:name w:val="footnote mark"/>
    <w:hidden/>
    <w:rsid w:val="007D42EF"/>
    <w:rPr>
      <w:rFonts w:ascii="Calibri" w:eastAsia="Calibri" w:hAnsi="Calibri" w:cs="Calibri"/>
      <w:color w:val="000000"/>
      <w:sz w:val="20"/>
      <w:vertAlign w:val="superscript"/>
    </w:rPr>
  </w:style>
  <w:style w:type="table" w:customStyle="1" w:styleId="TableGrid">
    <w:name w:val="TableGrid"/>
    <w:rsid w:val="007D42EF"/>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89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1319</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cp:revision>
  <dcterms:created xsi:type="dcterms:W3CDTF">2021-11-08T06:47:00Z</dcterms:created>
  <dcterms:modified xsi:type="dcterms:W3CDTF">2021-11-08T07:55:00Z</dcterms:modified>
</cp:coreProperties>
</file>