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9A" w:rsidRPr="004A159A" w:rsidRDefault="004A159A" w:rsidP="00DC6CBC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Vymezení m</w:t>
      </w:r>
      <w:r w:rsidRPr="004A159A">
        <w:rPr>
          <w:rFonts w:ascii="Calibri" w:eastAsia="Times New Roman" w:hAnsi="Calibri" w:cs="Times New Roman"/>
          <w:b/>
          <w:sz w:val="24"/>
          <w:szCs w:val="24"/>
          <w:lang w:eastAsia="cs-CZ"/>
        </w:rPr>
        <w:t>ezinárodní</w:t>
      </w: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ho</w:t>
      </w:r>
      <w:r w:rsidRPr="004A159A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management</w:t>
      </w: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u</w:t>
      </w:r>
      <w:r w:rsidR="006B7E09"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D47D99" w:rsidRPr="008C6D51" w:rsidRDefault="00511E31" w:rsidP="004A159A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d</w:t>
      </w:r>
      <w:r w:rsidR="00D47D99" w:rsidRPr="008C6D51">
        <w:rPr>
          <w:rFonts w:ascii="Calibri" w:eastAsia="Times New Roman" w:hAnsi="Calibri" w:cs="Times New Roman"/>
          <w:sz w:val="24"/>
          <w:szCs w:val="24"/>
          <w:lang w:eastAsia="cs-CZ"/>
        </w:rPr>
        <w:t>ůvody existence mezinárodního managementu</w:t>
      </w:r>
      <w:r w:rsidR="008C6D51">
        <w:rPr>
          <w:rFonts w:ascii="Calibri" w:eastAsia="Times New Roman" w:hAnsi="Calibri" w:cs="Times New Roman"/>
          <w:sz w:val="24"/>
          <w:szCs w:val="24"/>
          <w:lang w:eastAsia="cs-CZ"/>
        </w:rPr>
        <w:t>, s</w:t>
      </w:r>
      <w:r w:rsidR="00D47D99" w:rsidRPr="008C6D51">
        <w:rPr>
          <w:rFonts w:ascii="Calibri" w:eastAsia="Times New Roman" w:hAnsi="Calibri" w:cs="Times New Roman"/>
          <w:sz w:val="24"/>
          <w:szCs w:val="24"/>
          <w:lang w:eastAsia="cs-CZ"/>
        </w:rPr>
        <w:t>pecifika řízení v pod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mínkách mezinárodního prostředí;</w:t>
      </w:r>
    </w:p>
    <w:p w:rsidR="00511E31" w:rsidRDefault="00511E31" w:rsidP="006B7E09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d</w:t>
      </w:r>
      <w:r w:rsidR="00D47D99" w:rsidRPr="00DC6CB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va základní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cíle mezinárodního managementu; </w:t>
      </w:r>
    </w:p>
    <w:p w:rsidR="008C6D51" w:rsidRPr="00DC6CBC" w:rsidRDefault="008C6D51" w:rsidP="006B7E09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C6CBC">
        <w:rPr>
          <w:rFonts w:ascii="Calibri" w:eastAsia="Times New Roman" w:hAnsi="Calibri" w:cs="Times New Roman"/>
          <w:sz w:val="24"/>
          <w:szCs w:val="24"/>
          <w:lang w:eastAsia="cs-CZ"/>
        </w:rPr>
        <w:t>z</w:t>
      </w:r>
      <w:r w:rsidR="00D47D99" w:rsidRPr="00DC6CBC">
        <w:rPr>
          <w:rFonts w:ascii="Calibri" w:eastAsia="Times New Roman" w:hAnsi="Calibri" w:cs="Times New Roman"/>
          <w:sz w:val="24"/>
          <w:szCs w:val="24"/>
          <w:lang w:eastAsia="cs-CZ"/>
        </w:rPr>
        <w:t>ákladní problém ř</w:t>
      </w:r>
      <w:r w:rsidR="00511E31">
        <w:rPr>
          <w:rFonts w:ascii="Calibri" w:eastAsia="Times New Roman" w:hAnsi="Calibri" w:cs="Times New Roman"/>
          <w:sz w:val="24"/>
          <w:szCs w:val="24"/>
          <w:lang w:eastAsia="cs-CZ"/>
        </w:rPr>
        <w:t>ešený mezinárodním managementem.</w:t>
      </w:r>
    </w:p>
    <w:p w:rsidR="004A159A" w:rsidRDefault="004A159A">
      <w:pPr>
        <w:rPr>
          <w:b/>
        </w:rPr>
      </w:pPr>
    </w:p>
    <w:p w:rsidR="004A159A" w:rsidRPr="004A159A" w:rsidRDefault="004A159A" w:rsidP="004A159A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G</w:t>
      </w:r>
      <w:r w:rsidR="006B7E09">
        <w:rPr>
          <w:rFonts w:ascii="Calibri" w:eastAsia="Times New Roman" w:hAnsi="Calibri" w:cs="Times New Roman"/>
          <w:b/>
          <w:sz w:val="24"/>
          <w:szCs w:val="24"/>
          <w:lang w:eastAsia="cs-CZ"/>
        </w:rPr>
        <w:t>lobalizace:</w:t>
      </w:r>
    </w:p>
    <w:p w:rsidR="006B7E09" w:rsidRDefault="006B7E09" w:rsidP="004A159A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f</w:t>
      </w:r>
      <w:r w:rsidR="00845970">
        <w:rPr>
          <w:rFonts w:ascii="Calibri" w:eastAsia="Times New Roman" w:hAnsi="Calibri" w:cs="Times New Roman"/>
          <w:sz w:val="24"/>
          <w:szCs w:val="24"/>
          <w:lang w:eastAsia="cs-CZ"/>
        </w:rPr>
        <w:t>aktory způsob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ující rostoucí vliv globalizace;</w:t>
      </w:r>
    </w:p>
    <w:p w:rsidR="00511E31" w:rsidRDefault="00511E31" w:rsidP="006B7E09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historický vývoj globalizace;</w:t>
      </w:r>
    </w:p>
    <w:p w:rsidR="006B7E09" w:rsidRPr="00DC6CBC" w:rsidRDefault="00511E31" w:rsidP="006B7E09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i</w:t>
      </w:r>
      <w:r w:rsidR="00845970" w:rsidRPr="00DC6CBC">
        <w:rPr>
          <w:rFonts w:ascii="Calibri" w:eastAsia="Times New Roman" w:hAnsi="Calibri" w:cs="Times New Roman"/>
          <w:sz w:val="24"/>
          <w:szCs w:val="24"/>
          <w:lang w:eastAsia="cs-CZ"/>
        </w:rPr>
        <w:t>ndex globalizace</w:t>
      </w:r>
      <w:r w:rsidR="006603D0" w:rsidRPr="00DC6CBC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6B7E09" w:rsidRDefault="006B7E09" w:rsidP="00DC6CBC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B7E09" w:rsidRPr="006B7E09" w:rsidRDefault="006B7E09" w:rsidP="006B7E09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Lokalizace:</w:t>
      </w:r>
    </w:p>
    <w:p w:rsidR="00F7275C" w:rsidRDefault="00F7275C" w:rsidP="006B7E09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vymezení globálního produktu;</w:t>
      </w:r>
    </w:p>
    <w:p w:rsidR="00F7275C" w:rsidRDefault="00F7275C" w:rsidP="006B7E09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  <w:lang w:eastAsia="cs-CZ"/>
        </w:rPr>
        <w:t>positioning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6B7E09" w:rsidRDefault="006B7E09" w:rsidP="006B7E09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důvody významu lokalizace produktu;</w:t>
      </w:r>
    </w:p>
    <w:p w:rsidR="006B7E09" w:rsidRDefault="00F7275C" w:rsidP="006B7E09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trendy při lokalizaci produktu.</w:t>
      </w:r>
    </w:p>
    <w:p w:rsidR="00F7275C" w:rsidRDefault="00F7275C" w:rsidP="00DC6CBC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F7275C" w:rsidRPr="00F7275C" w:rsidRDefault="00F7275C" w:rsidP="00F7275C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Efekt země původu</w:t>
      </w:r>
    </w:p>
    <w:p w:rsidR="006B7E09" w:rsidRDefault="006B7E09" w:rsidP="00DC6CBC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B7E09" w:rsidRPr="004A159A" w:rsidRDefault="00F7275C" w:rsidP="006B7E09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Životní cyklus produktu v mezinárodním prostředí</w:t>
      </w:r>
    </w:p>
    <w:p w:rsidR="00DC6CBC" w:rsidRDefault="00DC6CBC" w:rsidP="000A5AEC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0A5AEC" w:rsidRPr="004A159A" w:rsidRDefault="009D436E" w:rsidP="000A5AEC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9D436E">
        <w:rPr>
          <w:rFonts w:ascii="Calibri" w:eastAsia="Times New Roman" w:hAnsi="Calibri" w:cs="Times New Roman"/>
          <w:b/>
          <w:sz w:val="24"/>
          <w:szCs w:val="24"/>
          <w:lang w:eastAsia="cs-CZ"/>
        </w:rPr>
        <w:t>Tři základní teorie mezinárodního obchodu</w:t>
      </w: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DC6CBC" w:rsidRDefault="009D436E" w:rsidP="009D436E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teorie absolutní výhody;</w:t>
      </w:r>
    </w:p>
    <w:p w:rsidR="009D436E" w:rsidRDefault="009D436E" w:rsidP="009D436E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teorie komparativní výhody;</w:t>
      </w:r>
    </w:p>
    <w:p w:rsidR="009D436E" w:rsidRDefault="009D436E" w:rsidP="009D436E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teorie reciproční poptávky.</w:t>
      </w:r>
    </w:p>
    <w:p w:rsidR="009D436E" w:rsidRDefault="009D436E" w:rsidP="009D436E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DC6CBC" w:rsidRPr="00DC6CBC" w:rsidRDefault="00EC5674" w:rsidP="00DC6CBC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Bariéry mezinárodního obchodu:</w:t>
      </w:r>
    </w:p>
    <w:p w:rsidR="00DC6CBC" w:rsidRDefault="00EC5674" w:rsidP="00EC5674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typy bariér </w:t>
      </w:r>
      <w:r w:rsidRPr="00EC5674">
        <w:rPr>
          <w:rFonts w:ascii="Calibri" w:eastAsia="Times New Roman" w:hAnsi="Calibri" w:cs="Times New Roman"/>
          <w:sz w:val="24"/>
          <w:szCs w:val="24"/>
          <w:lang w:eastAsia="cs-CZ"/>
        </w:rPr>
        <w:t>expanze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– vícestranné smluvní prostředky, autonomní prostředky;</w:t>
      </w:r>
    </w:p>
    <w:p w:rsidR="00EC5674" w:rsidRDefault="00EC5674" w:rsidP="00EC5674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dělení a příklady cel.</w:t>
      </w:r>
    </w:p>
    <w:p w:rsidR="00EC5674" w:rsidRDefault="00EC5674" w:rsidP="00DC6CBC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DC6CBC" w:rsidRDefault="00965A82" w:rsidP="00DC6CBC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Nadnárodní firmy</w:t>
      </w:r>
      <w:r w:rsidR="00DC6CBC" w:rsidRPr="00DC6CBC"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EC5674" w:rsidRDefault="00965A82" w:rsidP="00EC5674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podmínky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s-CZ"/>
        </w:rPr>
        <w:t>nadnárodnosti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firmy</w:t>
      </w:r>
      <w:r w:rsidR="00EC5674"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EC5674" w:rsidRDefault="00965A82" w:rsidP="00EC5674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hodnocení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s-CZ"/>
        </w:rPr>
        <w:t>nadnárodnosti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firmy;</w:t>
      </w:r>
    </w:p>
    <w:p w:rsidR="00965A82" w:rsidRDefault="00965A82" w:rsidP="00EC5674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d</w:t>
      </w:r>
      <w:r w:rsidRPr="00965A82">
        <w:rPr>
          <w:rFonts w:ascii="Calibri" w:eastAsia="Times New Roman" w:hAnsi="Calibri" w:cs="Times New Roman"/>
          <w:sz w:val="24"/>
          <w:szCs w:val="24"/>
          <w:lang w:eastAsia="cs-CZ"/>
        </w:rPr>
        <w:t>ůvody nadnárodního charakteru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firem;</w:t>
      </w:r>
    </w:p>
    <w:p w:rsidR="00965A82" w:rsidRDefault="00A07948" w:rsidP="00A07948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t</w:t>
      </w:r>
      <w:r w:rsidRPr="00A07948">
        <w:rPr>
          <w:rFonts w:ascii="Calibri" w:eastAsia="Times New Roman" w:hAnsi="Calibri" w:cs="Times New Roman"/>
          <w:sz w:val="24"/>
          <w:szCs w:val="24"/>
          <w:lang w:eastAsia="cs-CZ"/>
        </w:rPr>
        <w:t>ři míry integrity spolupráce v mezinárodním prostředí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EC5674" w:rsidRPr="00DC6CBC" w:rsidRDefault="00EC5674" w:rsidP="00DC6CBC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DC6CBC" w:rsidRPr="00DC6CBC" w:rsidRDefault="00A07948" w:rsidP="00DC6CBC">
      <w:pPr>
        <w:numPr>
          <w:ilvl w:val="0"/>
          <w:numId w:val="1"/>
        </w:numPr>
        <w:shd w:val="clear" w:color="auto" w:fill="D9D9D9"/>
        <w:spacing w:after="120" w:line="240" w:lineRule="auto"/>
        <w:ind w:left="357" w:hanging="357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Vstup na zahraniční trh:</w:t>
      </w:r>
    </w:p>
    <w:p w:rsidR="00A07948" w:rsidRDefault="00A07948" w:rsidP="00A07948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07948">
        <w:rPr>
          <w:rFonts w:ascii="Calibri" w:eastAsia="Times New Roman" w:hAnsi="Calibri" w:cs="Times New Roman"/>
          <w:sz w:val="24"/>
          <w:szCs w:val="24"/>
          <w:lang w:eastAsia="cs-CZ"/>
        </w:rPr>
        <w:t>formy vstupu na zahraniční trh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A07948" w:rsidRPr="00A07948" w:rsidRDefault="00A07948" w:rsidP="00A07948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07948">
        <w:rPr>
          <w:rFonts w:ascii="Calibri" w:eastAsia="Times New Roman" w:hAnsi="Calibri" w:cs="Times New Roman"/>
          <w:sz w:val="24"/>
          <w:szCs w:val="24"/>
          <w:lang w:eastAsia="cs-CZ"/>
        </w:rPr>
        <w:t>jednotlivé typy kapitálových vstupů;</w:t>
      </w:r>
    </w:p>
    <w:p w:rsidR="00511E31" w:rsidRDefault="00A07948" w:rsidP="00511E31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jednotlivé typy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s-CZ"/>
        </w:rPr>
        <w:t>bezkapitálových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vstupů.</w:t>
      </w:r>
    </w:p>
    <w:p w:rsidR="00A07948" w:rsidRDefault="00A07948" w:rsidP="00A07948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0640E" w:rsidRDefault="00B0640E" w:rsidP="00A07948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603D0" w:rsidRPr="004A159A" w:rsidRDefault="00A07948" w:rsidP="00DC6CBC">
      <w:pPr>
        <w:numPr>
          <w:ilvl w:val="0"/>
          <w:numId w:val="1"/>
        </w:numPr>
        <w:shd w:val="clear" w:color="auto" w:fill="D9D9D9"/>
        <w:spacing w:after="120" w:line="240" w:lineRule="auto"/>
        <w:ind w:left="357" w:hanging="357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lastRenderedPageBreak/>
        <w:t>Modely vstupů na zahraniční trh:</w:t>
      </w:r>
    </w:p>
    <w:p w:rsidR="006603D0" w:rsidRDefault="00A07948" w:rsidP="006603D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proofErr w:type="spellStart"/>
      <w:r w:rsidRPr="00A07948">
        <w:rPr>
          <w:rFonts w:ascii="Calibri" w:eastAsia="Times New Roman" w:hAnsi="Calibri" w:cs="Times New Roman"/>
          <w:sz w:val="24"/>
          <w:szCs w:val="24"/>
          <w:lang w:eastAsia="cs-CZ"/>
        </w:rPr>
        <w:t>Stopfordův</w:t>
      </w:r>
      <w:proofErr w:type="spellEnd"/>
      <w:r w:rsidRPr="00A0794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model internacionalizace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6603D0" w:rsidRDefault="00A07948" w:rsidP="006603D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07948">
        <w:rPr>
          <w:rFonts w:ascii="Calibri" w:eastAsia="Times New Roman" w:hAnsi="Calibri" w:cs="Times New Roman"/>
          <w:sz w:val="24"/>
          <w:szCs w:val="24"/>
          <w:lang w:eastAsia="cs-CZ"/>
        </w:rPr>
        <w:t>Uppsala model internacionalizace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282330" w:rsidRDefault="00A07948" w:rsidP="006603D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  <w:lang w:eastAsia="cs-CZ"/>
        </w:rPr>
        <w:t>Danielsův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model internacionalizace</w:t>
      </w:r>
      <w:r w:rsidR="00B0640E"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282330" w:rsidRDefault="00B0640E" w:rsidP="006603D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s</w:t>
      </w:r>
      <w:r w:rsidR="00282330">
        <w:rPr>
          <w:rFonts w:ascii="Calibri" w:eastAsia="Times New Roman" w:hAnsi="Calibri" w:cs="Times New Roman"/>
          <w:sz w:val="24"/>
          <w:szCs w:val="24"/>
          <w:lang w:eastAsia="cs-CZ"/>
        </w:rPr>
        <w:t>trategické typy „centrála – pobočka“.</w:t>
      </w:r>
    </w:p>
    <w:p w:rsidR="00A07948" w:rsidRDefault="00A07948" w:rsidP="00A07948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07948" w:rsidRPr="00A07948" w:rsidRDefault="00A60909" w:rsidP="00A07948">
      <w:pPr>
        <w:numPr>
          <w:ilvl w:val="0"/>
          <w:numId w:val="1"/>
        </w:numPr>
        <w:shd w:val="clear" w:color="auto" w:fill="D9D9D9"/>
        <w:spacing w:after="120" w:line="240" w:lineRule="auto"/>
        <w:ind w:left="357" w:hanging="357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Vztah</w:t>
      </w:r>
      <w:r w:rsidR="00A07948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„centrála – pobočka“</w:t>
      </w:r>
      <w:r w:rsidR="00A07948" w:rsidRPr="00A07948"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A07948" w:rsidRPr="00A07948" w:rsidRDefault="00A60909" w:rsidP="00A07948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dělení centrál</w:t>
      </w:r>
      <w:r w:rsidR="00A07948" w:rsidRPr="00A07948"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A07948" w:rsidRPr="00A07948" w:rsidRDefault="00A60909" w:rsidP="00A07948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toky probíhající mezi centrálou a pobočkou</w:t>
      </w:r>
      <w:r w:rsidR="00A07948" w:rsidRPr="00A07948"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A07948" w:rsidRDefault="00B0640E" w:rsidP="00A07948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faktory ovlivňující vtah mezi centrálou a pobočkou</w:t>
      </w:r>
      <w:r w:rsidR="00A60909" w:rsidRPr="00A60909"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A60909" w:rsidRPr="00A60909" w:rsidRDefault="00A60909" w:rsidP="00A07948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strategické typy „centrála – pobočka“.</w:t>
      </w:r>
    </w:p>
    <w:p w:rsidR="000A5AEC" w:rsidRDefault="000A5AEC" w:rsidP="00A60909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60909" w:rsidRPr="00A07948" w:rsidRDefault="00A60909" w:rsidP="00A60909">
      <w:pPr>
        <w:numPr>
          <w:ilvl w:val="0"/>
          <w:numId w:val="1"/>
        </w:numPr>
        <w:shd w:val="clear" w:color="auto" w:fill="D9D9D9"/>
        <w:spacing w:after="120" w:line="240" w:lineRule="auto"/>
        <w:ind w:left="357" w:hanging="357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Strategické typy mezinárodní expanze</w:t>
      </w:r>
      <w:r w:rsidRPr="00A07948"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A60909" w:rsidRPr="00A07948" w:rsidRDefault="00A60909" w:rsidP="00A60909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strategie mezinárodní expanze</w:t>
      </w:r>
      <w:r w:rsidRPr="00A6090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dle kombinace konkurenčního prostředí a postoje</w:t>
      </w:r>
      <w:r w:rsidRPr="00A07948"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A60909" w:rsidRPr="00FF1F4C" w:rsidRDefault="00FF1F4C" w:rsidP="00A60909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FF1F4C">
        <w:rPr>
          <w:rFonts w:ascii="Calibri" w:eastAsia="Times New Roman" w:hAnsi="Calibri" w:cs="Times New Roman"/>
          <w:sz w:val="24"/>
          <w:szCs w:val="24"/>
          <w:lang w:eastAsia="cs-CZ"/>
        </w:rPr>
        <w:t>strategické dichotomie.</w:t>
      </w:r>
    </w:p>
    <w:p w:rsidR="00A60909" w:rsidRDefault="00A60909" w:rsidP="00A60909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282330" w:rsidRPr="00282330" w:rsidRDefault="00446462" w:rsidP="00446462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Národnostní preference </w:t>
      </w:r>
      <w:r w:rsidRPr="00446462">
        <w:rPr>
          <w:rFonts w:ascii="Calibri" w:eastAsia="Times New Roman" w:hAnsi="Calibri" w:cs="Times New Roman"/>
          <w:b/>
          <w:sz w:val="24"/>
          <w:szCs w:val="24"/>
          <w:lang w:eastAsia="cs-CZ"/>
        </w:rPr>
        <w:t>mezinárodního řízení lidských zdrojů</w:t>
      </w:r>
      <w:r w:rsidR="000D0367"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446462" w:rsidRDefault="00446462" w:rsidP="0028233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s</w:t>
      </w:r>
      <w:r w:rsidRPr="00446462">
        <w:rPr>
          <w:rFonts w:ascii="Calibri" w:eastAsia="Times New Roman" w:hAnsi="Calibri" w:cs="Times New Roman"/>
          <w:sz w:val="24"/>
          <w:szCs w:val="24"/>
          <w:lang w:eastAsia="cs-CZ"/>
        </w:rPr>
        <w:t>pecifika mezinárodního charakteru řízení lidských zdrojů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446462" w:rsidRDefault="003922AA" w:rsidP="0028233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f</w:t>
      </w:r>
      <w:r w:rsidR="006E0D80" w:rsidRPr="006E0D80">
        <w:rPr>
          <w:rFonts w:ascii="Calibri" w:eastAsia="Times New Roman" w:hAnsi="Calibri" w:cs="Times New Roman"/>
          <w:sz w:val="24"/>
          <w:szCs w:val="24"/>
          <w:lang w:eastAsia="cs-CZ"/>
        </w:rPr>
        <w:t>aktory ovlivňující volbu strategie národnostní preference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282330" w:rsidRDefault="003922AA" w:rsidP="0028233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č</w:t>
      </w:r>
      <w:r w:rsidRPr="003922AA">
        <w:rPr>
          <w:rFonts w:ascii="Calibri" w:eastAsia="Times New Roman" w:hAnsi="Calibri" w:cs="Times New Roman"/>
          <w:sz w:val="24"/>
          <w:szCs w:val="24"/>
          <w:lang w:eastAsia="cs-CZ"/>
        </w:rPr>
        <w:t>tyři typy strategií národnostní preference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dle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s-CZ"/>
        </w:rPr>
        <w:t>Perlmutterovy</w:t>
      </w:r>
      <w:proofErr w:type="spellEnd"/>
      <w:r w:rsidR="006E0D80" w:rsidRPr="006E0D8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typologie</w:t>
      </w:r>
      <w:r w:rsidR="006E0D80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446462" w:rsidRDefault="00446462" w:rsidP="00446462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3922AA" w:rsidRPr="003922AA" w:rsidRDefault="003922AA" w:rsidP="003922AA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Expatriace a repatriace</w:t>
      </w:r>
      <w:r w:rsidR="000D0367"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3922AA" w:rsidRDefault="003922AA" w:rsidP="003922AA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vymezení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s-CZ"/>
        </w:rPr>
        <w:t>expatrianta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a repatrianta</w:t>
      </w:r>
      <w:r w:rsidR="00B0640E"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3922AA" w:rsidRPr="003922AA" w:rsidRDefault="003922AA" w:rsidP="003922AA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o</w:t>
      </w:r>
      <w:r w:rsidRPr="003922AA">
        <w:rPr>
          <w:rFonts w:ascii="Calibri" w:eastAsia="Times New Roman" w:hAnsi="Calibri" w:cs="Times New Roman"/>
          <w:sz w:val="24"/>
          <w:szCs w:val="24"/>
          <w:lang w:eastAsia="cs-CZ"/>
        </w:rPr>
        <w:t>dlišnosti působící na zaměstnance při práci v zahraničí;</w:t>
      </w:r>
    </w:p>
    <w:p w:rsidR="003922AA" w:rsidRDefault="003922AA" w:rsidP="003922AA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f</w:t>
      </w:r>
      <w:r w:rsidRPr="003922AA">
        <w:rPr>
          <w:rFonts w:ascii="Calibri" w:eastAsia="Times New Roman" w:hAnsi="Calibri" w:cs="Times New Roman"/>
          <w:sz w:val="24"/>
          <w:szCs w:val="24"/>
          <w:lang w:eastAsia="cs-CZ"/>
        </w:rPr>
        <w:t>aktory ovlivňující národnost manažera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3922AA" w:rsidRPr="003922AA" w:rsidRDefault="003922AA" w:rsidP="003922AA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3922AA">
        <w:rPr>
          <w:rFonts w:ascii="Calibri" w:eastAsia="Times New Roman" w:hAnsi="Calibri" w:cs="Times New Roman"/>
          <w:sz w:val="24"/>
          <w:szCs w:val="24"/>
          <w:lang w:eastAsia="cs-CZ"/>
        </w:rPr>
        <w:t>úkoly zahraničních manažerů v pobočkách;</w:t>
      </w:r>
    </w:p>
    <w:p w:rsidR="003922AA" w:rsidRPr="003922AA" w:rsidRDefault="003922AA" w:rsidP="003922AA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3922AA">
        <w:rPr>
          <w:rFonts w:ascii="Calibri" w:eastAsia="Times New Roman" w:hAnsi="Calibri" w:cs="Times New Roman"/>
          <w:sz w:val="24"/>
          <w:szCs w:val="24"/>
          <w:lang w:eastAsia="cs-CZ"/>
        </w:rPr>
        <w:t>rizika související s působením zahraničních manažerů v pobočkách;</w:t>
      </w:r>
    </w:p>
    <w:p w:rsidR="003922AA" w:rsidRDefault="003922AA" w:rsidP="003922AA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3922A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typologie </w:t>
      </w:r>
      <w:proofErr w:type="spellStart"/>
      <w:r w:rsidRPr="003922AA">
        <w:rPr>
          <w:rFonts w:ascii="Calibri" w:eastAsia="Times New Roman" w:hAnsi="Calibri" w:cs="Times New Roman"/>
          <w:sz w:val="24"/>
          <w:szCs w:val="24"/>
          <w:lang w:eastAsia="cs-CZ"/>
        </w:rPr>
        <w:t>expatriantů</w:t>
      </w:r>
      <w:proofErr w:type="spellEnd"/>
      <w:r w:rsidRPr="003922AA"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C149BE" w:rsidRPr="00C149BE" w:rsidRDefault="00CC0146" w:rsidP="003922AA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k</w:t>
      </w:r>
      <w:r w:rsidR="00C149BE" w:rsidRPr="00CC0146">
        <w:rPr>
          <w:rFonts w:ascii="Calibri" w:eastAsia="Times New Roman" w:hAnsi="Calibri" w:cs="Times New Roman"/>
          <w:sz w:val="24"/>
          <w:szCs w:val="24"/>
          <w:lang w:eastAsia="cs-CZ"/>
        </w:rPr>
        <w:t>ompenzace pracovního výjezdu do zahraničí;</w:t>
      </w:r>
    </w:p>
    <w:p w:rsidR="00C149BE" w:rsidRPr="00CC0146" w:rsidRDefault="00CC0146" w:rsidP="003922AA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k</w:t>
      </w:r>
      <w:r w:rsidRPr="00CC0146">
        <w:rPr>
          <w:rFonts w:ascii="Calibri" w:eastAsia="Times New Roman" w:hAnsi="Calibri" w:cs="Times New Roman"/>
          <w:sz w:val="24"/>
          <w:szCs w:val="24"/>
          <w:lang w:eastAsia="cs-CZ"/>
        </w:rPr>
        <w:t>ritéria pro výběr pracovníka určeného k pracovnímu výjezdu;</w:t>
      </w:r>
    </w:p>
    <w:p w:rsidR="00CC0146" w:rsidRPr="003922AA" w:rsidRDefault="00CC0146" w:rsidP="003922AA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proofErr w:type="spellStart"/>
      <w:r w:rsidRPr="00CC0146">
        <w:rPr>
          <w:rFonts w:ascii="Calibri" w:eastAsia="Times New Roman" w:hAnsi="Calibri" w:cs="Times New Roman"/>
          <w:sz w:val="24"/>
          <w:szCs w:val="24"/>
          <w:lang w:eastAsia="cs-CZ"/>
        </w:rPr>
        <w:t>expatriantský</w:t>
      </w:r>
      <w:proofErr w:type="spellEnd"/>
      <w:r w:rsidRPr="00CC014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trénink, problémy související s repatriací.</w:t>
      </w:r>
    </w:p>
    <w:p w:rsidR="00446462" w:rsidRPr="00282330" w:rsidRDefault="00446462" w:rsidP="003922AA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E0D80" w:rsidRPr="00282330" w:rsidRDefault="006E0D80" w:rsidP="006E0D80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Přímé zahraniční investice</w:t>
      </w:r>
      <w:r w:rsidR="000D0367"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6E0D80" w:rsidRDefault="000D0367" w:rsidP="006E0D8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="006E0D80">
        <w:rPr>
          <w:rFonts w:ascii="Calibri" w:eastAsia="Times New Roman" w:hAnsi="Calibri" w:cs="Times New Roman"/>
          <w:sz w:val="24"/>
          <w:szCs w:val="24"/>
          <w:lang w:eastAsia="cs-CZ"/>
        </w:rPr>
        <w:t>ymezen</w:t>
      </w:r>
      <w:r w:rsidR="00FF5B93">
        <w:rPr>
          <w:rFonts w:ascii="Calibri" w:eastAsia="Times New Roman" w:hAnsi="Calibri" w:cs="Times New Roman"/>
          <w:sz w:val="24"/>
          <w:szCs w:val="24"/>
          <w:lang w:eastAsia="cs-CZ"/>
        </w:rPr>
        <w:t>í přímých zahraničních investic;</w:t>
      </w:r>
    </w:p>
    <w:p w:rsidR="000D0367" w:rsidRDefault="000D0367" w:rsidP="006E0D8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dělení přímých zahraničních investic;</w:t>
      </w:r>
    </w:p>
    <w:p w:rsidR="000D0367" w:rsidRDefault="000D0367" w:rsidP="006E0D8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0D0367">
        <w:rPr>
          <w:rFonts w:ascii="Calibri" w:eastAsia="Times New Roman" w:hAnsi="Calibri" w:cs="Times New Roman"/>
          <w:sz w:val="24"/>
          <w:szCs w:val="24"/>
          <w:lang w:eastAsia="cs-CZ"/>
        </w:rPr>
        <w:t>toky mezi přímým investorem a subjektem přímé investice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6E0D80" w:rsidRDefault="000D0367" w:rsidP="00FF5B93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0D0367">
        <w:rPr>
          <w:rFonts w:ascii="Calibri" w:eastAsia="Times New Roman" w:hAnsi="Calibri" w:cs="Times New Roman"/>
          <w:sz w:val="24"/>
          <w:szCs w:val="24"/>
          <w:lang w:eastAsia="cs-CZ"/>
        </w:rPr>
        <w:t>základní podmínky pro realizaci přímé zahraniční investice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FF5B93" w:rsidRDefault="00FF5B93" w:rsidP="00FF5B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FF5B93" w:rsidRDefault="00FF5B93" w:rsidP="00FF5B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FF5B93" w:rsidRDefault="00FF5B93" w:rsidP="00FF5B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FF5B93" w:rsidRPr="00FF5B93" w:rsidRDefault="00FF5B93" w:rsidP="00FF5B9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282330" w:rsidRDefault="00282330" w:rsidP="0028233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0D0367" w:rsidRDefault="000D0367" w:rsidP="0028233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0D0367" w:rsidRPr="000D0367" w:rsidRDefault="000D0367" w:rsidP="000D0367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Investiční pobídky:</w:t>
      </w:r>
    </w:p>
    <w:p w:rsidR="000D0367" w:rsidRDefault="000D0367" w:rsidP="000D0367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znaky investičních pobídek;</w:t>
      </w:r>
    </w:p>
    <w:p w:rsidR="000D0367" w:rsidRDefault="000D0367" w:rsidP="000D0367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výhody a nevýhody investičních</w:t>
      </w:r>
      <w:r w:rsidRPr="00D84B4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pobídek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; </w:t>
      </w:r>
    </w:p>
    <w:p w:rsidR="000D0367" w:rsidRDefault="000D0367" w:rsidP="000D0367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dělení investičních pobídek;</w:t>
      </w:r>
    </w:p>
    <w:p w:rsidR="000D0367" w:rsidRDefault="000D0367" w:rsidP="000D0367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daňové ráje; </w:t>
      </w:r>
    </w:p>
    <w:p w:rsidR="000D0367" w:rsidRPr="00282330" w:rsidRDefault="000D0367" w:rsidP="000D0367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rozhodování investorů o přímých zahraničních investicích – f</w:t>
      </w:r>
      <w:r w:rsidRPr="00D84B45">
        <w:rPr>
          <w:rFonts w:ascii="Calibri" w:eastAsia="Times New Roman" w:hAnsi="Calibri" w:cs="Times New Roman"/>
          <w:sz w:val="24"/>
          <w:szCs w:val="24"/>
          <w:lang w:eastAsia="cs-CZ"/>
        </w:rPr>
        <w:t>aktory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Pr="00D84B45">
        <w:rPr>
          <w:rFonts w:ascii="Calibri" w:eastAsia="Times New Roman" w:hAnsi="Calibri" w:cs="Times New Roman"/>
          <w:sz w:val="24"/>
          <w:szCs w:val="24"/>
          <w:lang w:eastAsia="cs-CZ"/>
        </w:rPr>
        <w:t>ovlivňující ro</w:t>
      </w:r>
      <w:r w:rsidR="004341E4">
        <w:rPr>
          <w:rFonts w:ascii="Calibri" w:eastAsia="Times New Roman" w:hAnsi="Calibri" w:cs="Times New Roman"/>
          <w:sz w:val="24"/>
          <w:szCs w:val="24"/>
          <w:lang w:eastAsia="cs-CZ"/>
        </w:rPr>
        <w:t>zhodování nadnárodních firem</w:t>
      </w:r>
      <w:r w:rsidRPr="00D84B4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o přímých zahraničních investicích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0D0367" w:rsidRDefault="000D0367" w:rsidP="000D0367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B7E09" w:rsidRPr="004A159A" w:rsidRDefault="006A4ADF" w:rsidP="006B7E09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Vymezení i</w:t>
      </w:r>
      <w:r w:rsidR="000D0367">
        <w:rPr>
          <w:rFonts w:ascii="Calibri" w:eastAsia="Times New Roman" w:hAnsi="Calibri" w:cs="Times New Roman"/>
          <w:b/>
          <w:sz w:val="24"/>
          <w:szCs w:val="24"/>
          <w:lang w:eastAsia="cs-CZ"/>
        </w:rPr>
        <w:t>nvence a inovace</w:t>
      </w:r>
      <w:r w:rsidR="004341E4"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6B7E09" w:rsidRDefault="000D0367" w:rsidP="006B7E09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vymezení invence a inovace, důvody nutnosti invencí a inovací;</w:t>
      </w:r>
    </w:p>
    <w:p w:rsidR="006B7E09" w:rsidRDefault="006A4ADF" w:rsidP="006B7E09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zdroje invencí;</w:t>
      </w:r>
    </w:p>
    <w:p w:rsidR="006A4ADF" w:rsidRDefault="006A4ADF" w:rsidP="006B7E09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r</w:t>
      </w:r>
      <w:r w:rsidRPr="006A4ADF">
        <w:rPr>
          <w:rFonts w:ascii="Calibri" w:eastAsia="Times New Roman" w:hAnsi="Calibri" w:cs="Times New Roman"/>
          <w:sz w:val="24"/>
          <w:szCs w:val="24"/>
          <w:lang w:eastAsia="cs-CZ"/>
        </w:rPr>
        <w:t>ozlišování inovací dle míry novosti = řády inovací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D84B45" w:rsidRDefault="00D84B45" w:rsidP="006A4ADF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A4ADF" w:rsidRPr="004A159A" w:rsidRDefault="006A4ADF" w:rsidP="006A4ADF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6A4ADF">
        <w:rPr>
          <w:rFonts w:ascii="Calibri" w:eastAsia="Times New Roman" w:hAnsi="Calibri" w:cs="Times New Roman"/>
          <w:b/>
          <w:sz w:val="24"/>
          <w:szCs w:val="24"/>
          <w:lang w:eastAsia="cs-CZ"/>
        </w:rPr>
        <w:t>Inovační strategie mezinárodní konkurenceschopnosti</w:t>
      </w:r>
      <w:r w:rsidR="004341E4"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6A4ADF" w:rsidRDefault="006A4ADF" w:rsidP="006A4ADF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klastry;</w:t>
      </w:r>
    </w:p>
    <w:p w:rsidR="006A4ADF" w:rsidRPr="00E36DB8" w:rsidRDefault="00E36DB8" w:rsidP="00E36DB8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modrý oceán.</w:t>
      </w:r>
    </w:p>
    <w:p w:rsidR="006A4ADF" w:rsidRDefault="006A4ADF" w:rsidP="006A4ADF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A4ADF" w:rsidRPr="004A159A" w:rsidRDefault="00B77660" w:rsidP="006A4ADF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Kulturní aspekty mezinárodního managementu</w:t>
      </w:r>
      <w:r w:rsidR="004341E4"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B77660" w:rsidRDefault="006A4ADF" w:rsidP="006A4ADF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Pr="006A4ADF">
        <w:rPr>
          <w:rFonts w:ascii="Calibri" w:eastAsia="Times New Roman" w:hAnsi="Calibri" w:cs="Times New Roman"/>
          <w:sz w:val="24"/>
          <w:szCs w:val="24"/>
          <w:lang w:eastAsia="cs-CZ"/>
        </w:rPr>
        <w:t>ymezení kultury jakožto důležitého aspektu ro</w:t>
      </w:r>
      <w:r w:rsidR="00B77660">
        <w:rPr>
          <w:rFonts w:ascii="Calibri" w:eastAsia="Times New Roman" w:hAnsi="Calibri" w:cs="Times New Roman"/>
          <w:sz w:val="24"/>
          <w:szCs w:val="24"/>
          <w:lang w:eastAsia="cs-CZ"/>
        </w:rPr>
        <w:t>zdílů v mezinárodním prostředí;</w:t>
      </w:r>
    </w:p>
    <w:p w:rsidR="006A4ADF" w:rsidRDefault="006A4ADF" w:rsidP="006A4ADF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A4ADF">
        <w:rPr>
          <w:rFonts w:ascii="Calibri" w:eastAsia="Times New Roman" w:hAnsi="Calibri" w:cs="Times New Roman"/>
          <w:sz w:val="24"/>
          <w:szCs w:val="24"/>
          <w:lang w:eastAsia="cs-CZ"/>
        </w:rPr>
        <w:t>vymezení interkulturního managementu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;</w:t>
      </w:r>
    </w:p>
    <w:p w:rsidR="006A4ADF" w:rsidRPr="00B77660" w:rsidRDefault="006A4ADF" w:rsidP="00B7766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z</w:t>
      </w:r>
      <w:r w:rsidRPr="006A4ADF">
        <w:rPr>
          <w:rFonts w:ascii="Calibri" w:eastAsia="Times New Roman" w:hAnsi="Calibri" w:cs="Times New Roman"/>
          <w:sz w:val="24"/>
          <w:szCs w:val="24"/>
          <w:lang w:eastAsia="cs-CZ"/>
        </w:rPr>
        <w:t>působy hodnocení kulturních rozdílů</w:t>
      </w:r>
      <w:r w:rsidR="00B7766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– pět dimenzí kultury, tři bipolární kulturní proměnné, sedm vln kultury.</w:t>
      </w:r>
    </w:p>
    <w:p w:rsidR="006A4ADF" w:rsidRDefault="006A4ADF" w:rsidP="00B77660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77660" w:rsidRPr="004A159A" w:rsidRDefault="00B77660" w:rsidP="00B77660">
      <w:pPr>
        <w:numPr>
          <w:ilvl w:val="0"/>
          <w:numId w:val="1"/>
        </w:numPr>
        <w:shd w:val="clear" w:color="auto" w:fill="D9D9D9"/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bookmarkStart w:id="0" w:name="_Hlk531262562"/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Kulturní šok</w:t>
      </w:r>
      <w:r w:rsidR="004341E4"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B77660" w:rsidRDefault="00B77660" w:rsidP="00B7766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vymezení pojmu „kulturní šok“;</w:t>
      </w:r>
    </w:p>
    <w:p w:rsidR="00B77660" w:rsidRDefault="00B77660" w:rsidP="00B7766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projevy kulturního šoku;</w:t>
      </w:r>
    </w:p>
    <w:p w:rsidR="00B77660" w:rsidRDefault="00B77660" w:rsidP="00B77660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fáze kulturního šoku.</w:t>
      </w:r>
    </w:p>
    <w:p w:rsidR="008C6D51" w:rsidRDefault="008C6D51" w:rsidP="00B77660">
      <w:pPr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B2262" w:rsidRPr="006B2262" w:rsidRDefault="006B2262" w:rsidP="006B2262">
      <w:pPr>
        <w:rPr>
          <w:rFonts w:ascii="Calibri" w:eastAsia="Times New Roman" w:hAnsi="Calibri" w:cs="Times New Roman"/>
          <w:sz w:val="24"/>
          <w:szCs w:val="24"/>
          <w:lang w:eastAsia="cs-CZ"/>
        </w:rPr>
      </w:pPr>
      <w:bookmarkStart w:id="1" w:name="_GoBack"/>
      <w:bookmarkEnd w:id="0"/>
      <w:bookmarkEnd w:id="1"/>
    </w:p>
    <w:p w:rsidR="008C6D51" w:rsidRDefault="008C6D51" w:rsidP="008C6D51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4A159A" w:rsidRDefault="004A159A"/>
    <w:sectPr w:rsidR="004A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939"/>
    <w:multiLevelType w:val="hybridMultilevel"/>
    <w:tmpl w:val="0DC80BC0"/>
    <w:lvl w:ilvl="0" w:tplc="C7BCF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B5F7A"/>
    <w:multiLevelType w:val="hybridMultilevel"/>
    <w:tmpl w:val="36468948"/>
    <w:lvl w:ilvl="0" w:tplc="C7BCFC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9A"/>
    <w:rsid w:val="000A5AEC"/>
    <w:rsid w:val="000D0367"/>
    <w:rsid w:val="00282330"/>
    <w:rsid w:val="003922AA"/>
    <w:rsid w:val="004341E4"/>
    <w:rsid w:val="00446462"/>
    <w:rsid w:val="004A159A"/>
    <w:rsid w:val="00511E31"/>
    <w:rsid w:val="00557356"/>
    <w:rsid w:val="006048B0"/>
    <w:rsid w:val="006603D0"/>
    <w:rsid w:val="006A4ADF"/>
    <w:rsid w:val="006B2262"/>
    <w:rsid w:val="006B7E09"/>
    <w:rsid w:val="006E0D80"/>
    <w:rsid w:val="00731668"/>
    <w:rsid w:val="00845970"/>
    <w:rsid w:val="008C6D51"/>
    <w:rsid w:val="00965A82"/>
    <w:rsid w:val="009D436E"/>
    <w:rsid w:val="00A07948"/>
    <w:rsid w:val="00A60909"/>
    <w:rsid w:val="00B0640E"/>
    <w:rsid w:val="00B77660"/>
    <w:rsid w:val="00C149BE"/>
    <w:rsid w:val="00C33444"/>
    <w:rsid w:val="00C87900"/>
    <w:rsid w:val="00CC0146"/>
    <w:rsid w:val="00D47D99"/>
    <w:rsid w:val="00D84B45"/>
    <w:rsid w:val="00DC6CBC"/>
    <w:rsid w:val="00E36DB8"/>
    <w:rsid w:val="00EC5674"/>
    <w:rsid w:val="00F7275C"/>
    <w:rsid w:val="00FC1BAA"/>
    <w:rsid w:val="00FF1F4C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6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E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6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Ameir Omar</dc:creator>
  <cp:lastModifiedBy>Omar Ameir</cp:lastModifiedBy>
  <cp:revision>2</cp:revision>
  <cp:lastPrinted>2017-11-29T11:46:00Z</cp:lastPrinted>
  <dcterms:created xsi:type="dcterms:W3CDTF">2021-12-15T16:17:00Z</dcterms:created>
  <dcterms:modified xsi:type="dcterms:W3CDTF">2021-12-15T16:17:00Z</dcterms:modified>
</cp:coreProperties>
</file>