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A004" w14:textId="77777777" w:rsidR="00297F1F" w:rsidRPr="00A04895" w:rsidRDefault="00A04895" w:rsidP="00A0489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895">
        <w:rPr>
          <w:rFonts w:ascii="Times New Roman" w:hAnsi="Times New Roman" w:cs="Times New Roman"/>
          <w:b/>
          <w:sz w:val="24"/>
          <w:szCs w:val="24"/>
          <w:u w:val="single"/>
        </w:rPr>
        <w:t>Daňová incidence</w:t>
      </w:r>
    </w:p>
    <w:p w14:paraId="21F09DC9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1E3D0" w14:textId="77777777" w:rsidR="00D61CC9" w:rsidRPr="00A04895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>Incidence</w:t>
      </w:r>
      <w:r w:rsidRPr="00A04895">
        <w:rPr>
          <w:rFonts w:ascii="Times New Roman" w:hAnsi="Times New Roman" w:cs="Times New Roman"/>
          <w:sz w:val="24"/>
          <w:szCs w:val="24"/>
        </w:rPr>
        <w:t xml:space="preserve"> = </w:t>
      </w:r>
      <w:r w:rsidR="00A04895">
        <w:rPr>
          <w:rFonts w:ascii="Times New Roman" w:hAnsi="Times New Roman" w:cs="Times New Roman"/>
          <w:sz w:val="24"/>
          <w:szCs w:val="24"/>
        </w:rPr>
        <w:t>…………………………………………………………… …………………………………………………………………………</w:t>
      </w:r>
    </w:p>
    <w:p w14:paraId="42ED7A74" w14:textId="77777777" w:rsidR="00D61CC9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Zkoumání aspektů zdaňování ve vazbě na makroekonomické i mikroekonomické účinky </w:t>
      </w:r>
    </w:p>
    <w:p w14:paraId="2B7F9074" w14:textId="77777777" w:rsidR="00A04895" w:rsidRPr="00A04895" w:rsidRDefault="00A04895" w:rsidP="00A0489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57D58396" w14:textId="77777777" w:rsidR="00D61CC9" w:rsidRPr="00A04895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Význam cenové elasticity</w:t>
      </w:r>
    </w:p>
    <w:p w14:paraId="3525FC57" w14:textId="77777777" w:rsidR="00D61CC9" w:rsidRPr="00A04895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Rozložení daňového břemene</w:t>
      </w:r>
    </w:p>
    <w:p w14:paraId="0D4E7032" w14:textId="77777777" w:rsidR="00D61CC9" w:rsidRPr="00A04895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Incidence vybraných daní </w:t>
      </w:r>
    </w:p>
    <w:p w14:paraId="1532F8CC" w14:textId="77777777" w:rsidR="00D61CC9" w:rsidRPr="00A04895" w:rsidRDefault="008E52D1" w:rsidP="00A0489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Nadměrné daňové břemeno</w:t>
      </w:r>
    </w:p>
    <w:p w14:paraId="5F7F5A49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79AD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Úloha cenové elasticity při zdaňování </w:t>
      </w:r>
    </w:p>
    <w:p w14:paraId="25BC9276" w14:textId="77777777" w:rsidR="00D61CC9" w:rsidRPr="00A04895" w:rsidRDefault="00A04895" w:rsidP="00A0489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…………………….</w:t>
      </w:r>
      <w:r w:rsidR="008E52D1"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52D1" w:rsidRPr="00A04895">
        <w:rPr>
          <w:rFonts w:ascii="Times New Roman" w:hAnsi="Times New Roman" w:cs="Times New Roman"/>
          <w:sz w:val="24"/>
          <w:szCs w:val="24"/>
        </w:rPr>
        <w:t xml:space="preserve">– vliv na změnu vybrané veličiny způsobený změnou ceny </w:t>
      </w:r>
    </w:p>
    <w:p w14:paraId="4E4B769C" w14:textId="77777777" w:rsidR="00A04895" w:rsidRDefault="00A04895" w:rsidP="00A048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20BEC" w14:textId="77777777" w:rsidR="00A04895" w:rsidRPr="00A04895" w:rsidRDefault="009A3B2D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Předpoklady </w:t>
      </w:r>
      <w:r w:rsidR="00A04895"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modelu </w:t>
      </w:r>
    </w:p>
    <w:p w14:paraId="0F6040FE" w14:textId="77777777" w:rsidR="00D61CC9" w:rsidRPr="00A04895" w:rsidRDefault="008E52D1" w:rsidP="00A0489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Cenová elasticita nabídky a poptávky</w:t>
      </w:r>
    </w:p>
    <w:p w14:paraId="7AAA0518" w14:textId="77777777" w:rsidR="00D61CC9" w:rsidRPr="00A04895" w:rsidRDefault="008E52D1" w:rsidP="00A0489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Konkurenční trh </w:t>
      </w:r>
    </w:p>
    <w:p w14:paraId="67926C18" w14:textId="77777777" w:rsidR="00D61CC9" w:rsidRPr="00A04895" w:rsidRDefault="008E52D1" w:rsidP="00A0489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Uvalení jednotkové daně</w:t>
      </w:r>
    </w:p>
    <w:p w14:paraId="7749B0A7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AF20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Cenová elasticita nabídky</w:t>
      </w:r>
    </w:p>
    <w:p w14:paraId="7BF2C33C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8E1D0" w14:textId="6D0830EA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496A34" wp14:editId="0C0A13D0">
            <wp:extent cx="5760720" cy="2497455"/>
            <wp:effectExtent l="0" t="0" r="0" b="0"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22928"/>
                    <a:stretch/>
                  </pic:blipFill>
                  <pic:spPr bwMode="auto">
                    <a:xfrm>
                      <a:off x="0" y="0"/>
                      <a:ext cx="5760720" cy="249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BBCB5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C344E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37CB0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75B033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F585B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8B57A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6A892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D92B3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E1CD9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7D145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Cenová elasticita poptávky </w:t>
      </w:r>
    </w:p>
    <w:p w14:paraId="0A443A9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890D91" w14:textId="5A8F19A8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D83832" wp14:editId="1CF4D2A0">
            <wp:extent cx="5760720" cy="2343150"/>
            <wp:effectExtent l="0" t="0" r="0" b="0"/>
            <wp:docPr id="2" name="Grafický 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23516" b="4174"/>
                    <a:stretch/>
                  </pic:blipFill>
                  <pic:spPr bwMode="auto">
                    <a:xfrm>
                      <a:off x="0" y="0"/>
                      <a:ext cx="576072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A7BE6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FE2BA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39A79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21F6C" w14:textId="77777777" w:rsidR="00A04895" w:rsidRDefault="00A04895" w:rsidP="00A048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C336D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>Závěr z modelu</w:t>
      </w:r>
    </w:p>
    <w:p w14:paraId="36CD9120" w14:textId="77777777" w:rsidR="00D61CC9" w:rsidRPr="00A04895" w:rsidRDefault="008E52D1" w:rsidP="00A0489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Čím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cenová elasticita nabídky, tím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Start"/>
      <w:r w:rsidR="00A04895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A048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4895">
        <w:rPr>
          <w:rFonts w:ascii="Times New Roman" w:hAnsi="Times New Roman" w:cs="Times New Roman"/>
          <w:sz w:val="24"/>
          <w:szCs w:val="24"/>
        </w:rPr>
        <w:t xml:space="preserve"> růst ceny, tím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pokles objemu výrobků na trhu </w:t>
      </w:r>
    </w:p>
    <w:p w14:paraId="074538C4" w14:textId="77777777" w:rsidR="00D61CC9" w:rsidRPr="00A04895" w:rsidRDefault="008E52D1" w:rsidP="00A0489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Čím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…….</w:t>
      </w:r>
      <w:r w:rsidRPr="00A04895">
        <w:rPr>
          <w:rFonts w:ascii="Times New Roman" w:hAnsi="Times New Roman" w:cs="Times New Roman"/>
          <w:sz w:val="24"/>
          <w:szCs w:val="24"/>
        </w:rPr>
        <w:t xml:space="preserve"> cenová elasticita p</w:t>
      </w:r>
      <w:r w:rsidR="00A04895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A048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4895">
        <w:rPr>
          <w:rFonts w:ascii="Times New Roman" w:hAnsi="Times New Roman" w:cs="Times New Roman"/>
          <w:sz w:val="24"/>
          <w:szCs w:val="24"/>
        </w:rPr>
        <w:t xml:space="preserve">, tím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růst ceny, tím </w:t>
      </w:r>
      <w:r w:rsidRPr="00A0489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……..</w:t>
      </w:r>
      <w:r w:rsidRPr="00A04895">
        <w:rPr>
          <w:rFonts w:ascii="Times New Roman" w:hAnsi="Times New Roman" w:cs="Times New Roman"/>
          <w:sz w:val="24"/>
          <w:szCs w:val="24"/>
        </w:rPr>
        <w:t xml:space="preserve"> pokles objemu výrobků na trhu </w:t>
      </w:r>
    </w:p>
    <w:p w14:paraId="059F7D4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9546CF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A5A6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Rozložení daňového břemene </w:t>
      </w:r>
    </w:p>
    <w:p w14:paraId="44F9F349" w14:textId="77777777" w:rsidR="00D61CC9" w:rsidRPr="00A04895" w:rsidRDefault="008E52D1" w:rsidP="00A0489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Určení, kdo platí daň (kupující, prodávající)</w:t>
      </w:r>
    </w:p>
    <w:p w14:paraId="43F70C43" w14:textId="77777777" w:rsidR="00D61CC9" w:rsidRPr="00A04895" w:rsidRDefault="00A04895" w:rsidP="00A0489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</w:t>
      </w:r>
      <w:r w:rsidR="008E52D1"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52D1" w:rsidRPr="00A04895">
        <w:rPr>
          <w:rFonts w:ascii="Times New Roman" w:hAnsi="Times New Roman" w:cs="Times New Roman"/>
          <w:sz w:val="24"/>
          <w:szCs w:val="24"/>
        </w:rPr>
        <w:t xml:space="preserve">– je jedno, na které straně trhu je daň uvalena, daňový výnos je totožný </w:t>
      </w:r>
    </w:p>
    <w:p w14:paraId="779E50E3" w14:textId="77777777" w:rsidR="00D61CC9" w:rsidRPr="00A04895" w:rsidRDefault="008E52D1" w:rsidP="00A04895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Ekvivalentní daň </w:t>
      </w:r>
      <w:r w:rsidRPr="00A04895">
        <w:rPr>
          <w:rFonts w:ascii="Times New Roman" w:hAnsi="Times New Roman" w:cs="Times New Roman"/>
          <w:sz w:val="24"/>
          <w:szCs w:val="24"/>
        </w:rPr>
        <w:t xml:space="preserve">– shodné působení na </w:t>
      </w:r>
      <w:r w:rsidR="00A04895">
        <w:rPr>
          <w:rFonts w:ascii="Times New Roman" w:hAnsi="Times New Roman" w:cs="Times New Roman"/>
          <w:sz w:val="24"/>
          <w:szCs w:val="24"/>
        </w:rPr>
        <w:t>………………………..</w:t>
      </w:r>
      <w:r w:rsidRPr="00A04895">
        <w:rPr>
          <w:rFonts w:ascii="Times New Roman" w:hAnsi="Times New Roman" w:cs="Times New Roman"/>
          <w:sz w:val="24"/>
          <w:szCs w:val="24"/>
        </w:rPr>
        <w:t xml:space="preserve">, výrobci a spotřebitelé se podílí na dani </w:t>
      </w:r>
      <w:r w:rsidR="00A04895">
        <w:rPr>
          <w:rFonts w:ascii="Times New Roman" w:hAnsi="Times New Roman" w:cs="Times New Roman"/>
          <w:sz w:val="24"/>
          <w:szCs w:val="24"/>
        </w:rPr>
        <w:t>….</w:t>
      </w:r>
      <w:r w:rsidRPr="00A04895">
        <w:rPr>
          <w:rFonts w:ascii="Times New Roman" w:hAnsi="Times New Roman" w:cs="Times New Roman"/>
          <w:sz w:val="24"/>
          <w:szCs w:val="24"/>
        </w:rPr>
        <w:t xml:space="preserve"> stejném poměru </w:t>
      </w:r>
    </w:p>
    <w:p w14:paraId="0F91F98C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F24AE" w14:textId="01BB7663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B969C4" wp14:editId="76A3BDEB">
            <wp:extent cx="5760720" cy="2268855"/>
            <wp:effectExtent l="0" t="0" r="0" b="0"/>
            <wp:docPr id="3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29983"/>
                    <a:stretch/>
                  </pic:blipFill>
                  <pic:spPr bwMode="auto">
                    <a:xfrm>
                      <a:off x="0" y="0"/>
                      <a:ext cx="5760720" cy="226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F2996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7B3B6F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3BFE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6E68D" w14:textId="6222350B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59E2B4" wp14:editId="17095A5B">
            <wp:extent cx="5760720" cy="2516505"/>
            <wp:effectExtent l="0" t="0" r="0" b="0"/>
            <wp:docPr id="4" name="Grafický 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22340"/>
                    <a:stretch/>
                  </pic:blipFill>
                  <pic:spPr bwMode="auto">
                    <a:xfrm>
                      <a:off x="0" y="0"/>
                      <a:ext cx="5760720" cy="251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ACF91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59F287" w14:textId="77777777" w:rsidR="00D61CC9" w:rsidRPr="00A04895" w:rsidRDefault="008E52D1" w:rsidP="00A0489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Menší cenová pružnost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– daňové břemeno nesou více</w:t>
      </w:r>
      <w:r w:rsidR="00A04895">
        <w:rPr>
          <w:rFonts w:ascii="Times New Roman" w:hAnsi="Times New Roman" w:cs="Times New Roman"/>
          <w:sz w:val="24"/>
          <w:szCs w:val="24"/>
        </w:rPr>
        <w:t>………………….</w:t>
      </w:r>
      <w:r w:rsidRPr="00A048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9DA77" w14:textId="77777777" w:rsidR="00D61CC9" w:rsidRDefault="008E52D1" w:rsidP="00A04895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Menší cenová pružnost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proofErr w:type="gramStart"/>
      <w:r w:rsidR="00A04895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A048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4895">
        <w:rPr>
          <w:rFonts w:ascii="Times New Roman" w:hAnsi="Times New Roman" w:cs="Times New Roman"/>
          <w:sz w:val="24"/>
          <w:szCs w:val="24"/>
        </w:rPr>
        <w:t xml:space="preserve"> – daňové břemeno nesou více </w:t>
      </w:r>
      <w:r w:rsidR="00A04895">
        <w:rPr>
          <w:rFonts w:ascii="Times New Roman" w:hAnsi="Times New Roman" w:cs="Times New Roman"/>
          <w:sz w:val="24"/>
          <w:szCs w:val="24"/>
        </w:rPr>
        <w:t>……………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175E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78B51" w14:textId="00DE0B68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9E2D41" wp14:editId="0BE3C67C">
            <wp:extent cx="5760720" cy="2430780"/>
            <wp:effectExtent l="0" t="0" r="0" b="7620"/>
            <wp:docPr id="5" name="Grafický 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992" t="15286" r="-992" b="9699"/>
                    <a:stretch/>
                  </pic:blipFill>
                  <pic:spPr bwMode="auto"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87ED1" w14:textId="5F54B846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2E40A7" wp14:editId="257B28EE">
            <wp:extent cx="5760720" cy="2505075"/>
            <wp:effectExtent l="0" t="0" r="0" b="9525"/>
            <wp:docPr id="6" name="Grafický 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4697" b="7995"/>
                    <a:stretch/>
                  </pic:blipFill>
                  <pic:spPr bwMode="auto">
                    <a:xfrm>
                      <a:off x="0" y="0"/>
                      <a:ext cx="576072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6B7E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Ramseovy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daně </w:t>
      </w:r>
    </w:p>
    <w:p w14:paraId="2298C5B3" w14:textId="77777777" w:rsidR="00D61CC9" w:rsidRPr="00A04895" w:rsidRDefault="008E52D1" w:rsidP="00A0489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Obtížná aplikace </w:t>
      </w:r>
      <w:r w:rsidR="00A0489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v praxi </w:t>
      </w:r>
    </w:p>
    <w:p w14:paraId="59E515C7" w14:textId="77777777" w:rsidR="00A04895" w:rsidRDefault="008E52D1" w:rsidP="00A04895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Vysoká zdanění nezbytného zboží a </w:t>
      </w:r>
      <w:proofErr w:type="gramStart"/>
      <w:r w:rsidRPr="00A04895">
        <w:rPr>
          <w:rFonts w:ascii="Times New Roman" w:hAnsi="Times New Roman" w:cs="Times New Roman"/>
          <w:sz w:val="24"/>
          <w:szCs w:val="24"/>
        </w:rPr>
        <w:t>služeb  =</w:t>
      </w:r>
      <w:proofErr w:type="gramEnd"/>
      <w:r w:rsidRPr="00A04895">
        <w:rPr>
          <w:rFonts w:ascii="Times New Roman" w:hAnsi="Times New Roman" w:cs="Times New Roman"/>
          <w:sz w:val="24"/>
          <w:szCs w:val="24"/>
        </w:rPr>
        <w:t>&gt; stabilní daňový příjem</w:t>
      </w:r>
    </w:p>
    <w:p w14:paraId="44816482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F9BAAD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B4475" w14:textId="77777777" w:rsidR="00AC206B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BF7A41" w14:textId="77777777" w:rsidR="00AC206B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1DB5D" w14:textId="77777777" w:rsidR="00AC206B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9712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Incidence daní na trhu práce</w:t>
      </w:r>
    </w:p>
    <w:p w14:paraId="1245B983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EA84D3" w14:textId="77777777" w:rsidR="00D61CC9" w:rsidRPr="00A04895" w:rsidRDefault="00A04895" w:rsidP="00A04895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52D1"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efekt </w:t>
      </w:r>
      <w:r w:rsidR="008E52D1" w:rsidRPr="00A04895">
        <w:rPr>
          <w:rFonts w:ascii="Times New Roman" w:hAnsi="Times New Roman" w:cs="Times New Roman"/>
          <w:sz w:val="24"/>
          <w:szCs w:val="24"/>
        </w:rPr>
        <w:t xml:space="preserve">– stimuluje k většímu pracovnímu výkonu, posílení ochoty pracovat  </w:t>
      </w:r>
    </w:p>
    <w:p w14:paraId="19A10257" w14:textId="79B84620" w:rsidR="00A04895" w:rsidRPr="00BA39EB" w:rsidRDefault="009A3B2D" w:rsidP="00A04895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Substituční </w:t>
      </w:r>
      <w:r w:rsidR="008E52D1"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efekt </w:t>
      </w:r>
      <w:r w:rsidR="008E52D1" w:rsidRPr="00A04895">
        <w:rPr>
          <w:rFonts w:ascii="Times New Roman" w:hAnsi="Times New Roman" w:cs="Times New Roman"/>
          <w:sz w:val="24"/>
          <w:szCs w:val="24"/>
        </w:rPr>
        <w:t xml:space="preserve">– poplatník raději preferuje volný čas, snížení motivů k práci </w:t>
      </w:r>
    </w:p>
    <w:p w14:paraId="50E375A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C8B170" w14:textId="7D0BA4B1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BA066C" wp14:editId="2287BFD8">
            <wp:extent cx="5760720" cy="1830705"/>
            <wp:effectExtent l="0" t="0" r="0" b="0"/>
            <wp:docPr id="7" name="Grafický 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43504"/>
                    <a:stretch/>
                  </pic:blipFill>
                  <pic:spPr bwMode="auto">
                    <a:xfrm>
                      <a:off x="0" y="0"/>
                      <a:ext cx="5760720" cy="183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C0329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98D5D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10FE4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Incidence firemní daně – jednotková daň </w:t>
      </w:r>
    </w:p>
    <w:p w14:paraId="1A6B4EE9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BEF326" w14:textId="6AC799F2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69CB1C" wp14:editId="4FF2CB6C">
            <wp:extent cx="5760720" cy="2487930"/>
            <wp:effectExtent l="0" t="0" r="0" b="7620"/>
            <wp:docPr id="8" name="Grafický 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23222"/>
                    <a:stretch/>
                  </pic:blipFill>
                  <pic:spPr bwMode="auto">
                    <a:xfrm>
                      <a:off x="0" y="0"/>
                      <a:ext cx="5760720" cy="248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2BC9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8ABBA2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D2592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72549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E379A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Incidence firemní daně ad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valorem</w:t>
      </w:r>
      <w:proofErr w:type="spellEnd"/>
    </w:p>
    <w:p w14:paraId="5BBDCFDB" w14:textId="77777777" w:rsidR="00D61CC9" w:rsidRPr="00A04895" w:rsidRDefault="008E52D1" w:rsidP="00A0489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Daň na zisk </w:t>
      </w:r>
    </w:p>
    <w:p w14:paraId="1BDBF182" w14:textId="77777777" w:rsidR="00D61CC9" w:rsidRPr="00A04895" w:rsidRDefault="008E52D1" w:rsidP="00A0489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Cíl: maximalizace zisku a maximalizace objemu prodeje</w:t>
      </w:r>
    </w:p>
    <w:p w14:paraId="5FCCBFBF" w14:textId="77777777" w:rsidR="00D61CC9" w:rsidRPr="00A04895" w:rsidRDefault="008E52D1" w:rsidP="00A0489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Strategie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…………………………</w:t>
      </w:r>
      <w:r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4895">
        <w:rPr>
          <w:rFonts w:ascii="Times New Roman" w:hAnsi="Times New Roman" w:cs="Times New Roman"/>
          <w:sz w:val="24"/>
          <w:szCs w:val="24"/>
        </w:rPr>
        <w:t xml:space="preserve">– při zdanění zachová stejný objem výroby nebo výrobu ukončí </w:t>
      </w:r>
    </w:p>
    <w:p w14:paraId="4CE4F314" w14:textId="77777777" w:rsidR="00D61CC9" w:rsidRDefault="008E52D1" w:rsidP="00A04895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Strategie </w:t>
      </w:r>
      <w:r w:rsidR="009A3B2D">
        <w:rPr>
          <w:rFonts w:ascii="Times New Roman" w:hAnsi="Times New Roman" w:cs="Times New Roman"/>
          <w:b/>
          <w:bCs/>
          <w:sz w:val="24"/>
          <w:szCs w:val="24"/>
        </w:rPr>
        <w:t xml:space="preserve">maximalizace </w:t>
      </w:r>
      <w:r w:rsidR="00A04895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proofErr w:type="gramStart"/>
      <w:r w:rsidR="00A04895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A048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04895">
        <w:rPr>
          <w:rFonts w:ascii="Times New Roman" w:hAnsi="Times New Roman" w:cs="Times New Roman"/>
          <w:sz w:val="24"/>
          <w:szCs w:val="24"/>
        </w:rPr>
        <w:t xml:space="preserve"> – dosažení minimální úrovně zisku </w:t>
      </w:r>
    </w:p>
    <w:p w14:paraId="064E274D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6711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C669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Nadměrné daňové břemeno </w:t>
      </w:r>
    </w:p>
    <w:p w14:paraId="75A807AA" w14:textId="77777777" w:rsidR="00D61CC9" w:rsidRPr="00A04895" w:rsidRDefault="00A04895" w:rsidP="00A0489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8E52D1" w:rsidRPr="00A04895">
        <w:rPr>
          <w:rFonts w:ascii="Times New Roman" w:hAnsi="Times New Roman" w:cs="Times New Roman"/>
          <w:sz w:val="24"/>
          <w:szCs w:val="24"/>
        </w:rPr>
        <w:t xml:space="preserve"> účastníků trhu, která není kompenzována ziskem jiných ekonomických subjektů</w:t>
      </w:r>
    </w:p>
    <w:p w14:paraId="4A3B0509" w14:textId="77777777" w:rsidR="00D61CC9" w:rsidRPr="00A04895" w:rsidRDefault="008E52D1" w:rsidP="00A0489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Dochází k narušení </w:t>
      </w:r>
      <w:r w:rsidR="009A3B2D">
        <w:rPr>
          <w:rFonts w:ascii="Times New Roman" w:hAnsi="Times New Roman" w:cs="Times New Roman"/>
          <w:sz w:val="24"/>
          <w:szCs w:val="24"/>
        </w:rPr>
        <w:t>efektivnosti</w:t>
      </w:r>
      <w:r w:rsidRPr="00A04895">
        <w:rPr>
          <w:rFonts w:ascii="Times New Roman" w:hAnsi="Times New Roman" w:cs="Times New Roman"/>
          <w:sz w:val="24"/>
          <w:szCs w:val="24"/>
        </w:rPr>
        <w:t xml:space="preserve"> trhu </w:t>
      </w:r>
    </w:p>
    <w:p w14:paraId="553D02E9" w14:textId="77777777" w:rsidR="00D61CC9" w:rsidRPr="00A04895" w:rsidRDefault="008E52D1" w:rsidP="00A0489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Vzniká další náklad výrobce a spotřebitele</w:t>
      </w:r>
    </w:p>
    <w:p w14:paraId="20A579EA" w14:textId="77777777" w:rsidR="00D61CC9" w:rsidRPr="00A04895" w:rsidRDefault="008E52D1" w:rsidP="00A0489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 xml:space="preserve">Nadměrné daňové břemeno </w:t>
      </w:r>
      <w:r w:rsidRPr="00A04895">
        <w:rPr>
          <w:rFonts w:ascii="Times New Roman" w:hAnsi="Times New Roman" w:cs="Times New Roman"/>
          <w:sz w:val="24"/>
          <w:szCs w:val="24"/>
        </w:rPr>
        <w:t xml:space="preserve">= daňové břemeno – výnos státu </w:t>
      </w:r>
    </w:p>
    <w:p w14:paraId="0742D49D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E32CE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81246C" w14:textId="3B69BDF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Vliv cenové elasticity na nadměrné daňové břemeno </w:t>
      </w:r>
    </w:p>
    <w:p w14:paraId="535F2C82" w14:textId="2A71DFA7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9DCE00" wp14:editId="36E2F1F9">
            <wp:extent cx="5760720" cy="2190750"/>
            <wp:effectExtent l="0" t="0" r="0" b="0"/>
            <wp:docPr id="9" name="Grafický 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23516" b="8877"/>
                    <a:stretch/>
                  </pic:blipFill>
                  <pic:spPr bwMode="auto">
                    <a:xfrm>
                      <a:off x="0" y="0"/>
                      <a:ext cx="5760720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3146A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3067E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Nekonečně vysoká cenová elasticita poptávky</w:t>
      </w:r>
    </w:p>
    <w:p w14:paraId="738CDD65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672C9" w14:textId="63E70F4D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42EAF8" wp14:editId="6740D4DA">
            <wp:extent cx="5760720" cy="2440305"/>
            <wp:effectExtent l="0" t="0" r="0" b="0"/>
            <wp:docPr id="10" name="Grafický 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rcRect t="24691"/>
                    <a:stretch/>
                  </pic:blipFill>
                  <pic:spPr bwMode="auto">
                    <a:xfrm>
                      <a:off x="0" y="0"/>
                      <a:ext cx="5760720" cy="244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E760A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632DD2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47067365" wp14:editId="5D85D151">
            <wp:extent cx="3191774" cy="2656935"/>
            <wp:effectExtent l="0" t="0" r="889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22390" r="30075"/>
                    <a:stretch/>
                  </pic:blipFill>
                  <pic:spPr bwMode="auto">
                    <a:xfrm>
                      <a:off x="0" y="0"/>
                      <a:ext cx="3197403" cy="2661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1C5A6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874E2" w14:textId="77777777" w:rsidR="00BA39EB" w:rsidRPr="00A04895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Nekonečně vysoká cenová elasticita nabídky</w:t>
      </w:r>
    </w:p>
    <w:p w14:paraId="0558B415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014306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1BBF248" wp14:editId="524A9689">
            <wp:extent cx="4572000" cy="2078966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31195" b="8176"/>
                    <a:stretch/>
                  </pic:blipFill>
                  <pic:spPr bwMode="auto">
                    <a:xfrm>
                      <a:off x="0" y="0"/>
                      <a:ext cx="4572638" cy="2079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51C43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A2370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DF2A5" wp14:editId="04D25480">
                <wp:simplePos x="0" y="0"/>
                <wp:positionH relativeFrom="column">
                  <wp:posOffset>-130810</wp:posOffset>
                </wp:positionH>
                <wp:positionV relativeFrom="paragraph">
                  <wp:posOffset>-86096</wp:posOffset>
                </wp:positionV>
                <wp:extent cx="7488555" cy="532130"/>
                <wp:effectExtent l="0" t="0" r="0" b="0"/>
                <wp:wrapNone/>
                <wp:docPr id="12" name="Zástupný symbol pro obsah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8555" cy="532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4D6E78" w14:textId="77777777" w:rsidR="00BA39EB" w:rsidRPr="00A04895" w:rsidRDefault="00BA39EB" w:rsidP="00BA39EB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A0489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Nulová cenová elasticita nabídky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 fontScale="92500" lnSpcReduction="1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7DF2A5" id="_x0000_t202" coordsize="21600,21600" o:spt="202" path="m,l,21600r21600,l21600,xe">
                <v:stroke joinstyle="miter"/>
                <v:path gradientshapeok="t" o:connecttype="rect"/>
              </v:shapetype>
              <v:shape id="Zástupný symbol pro obsah 2" o:spid="_x0000_s1026" type="#_x0000_t202" style="position:absolute;margin-left:-10.3pt;margin-top:-6.8pt;width:589.65pt;height:4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" filled="f" stroked="f">
                <v:textbox>
                  <w:txbxContent>
                    <w:p w14:paraId="424D6E78" w14:textId="77777777" w:rsidR="00BA39EB" w:rsidRPr="00A04895" w:rsidRDefault="00BA39EB" w:rsidP="00BA39EB">
                      <w:pPr>
                        <w:pStyle w:val="Normln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A0489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Cs w:val="36"/>
                        </w:rPr>
                        <w:t>Nulová cenová elasticita nabídky</w:t>
                      </w:r>
                    </w:p>
                  </w:txbxContent>
                </v:textbox>
              </v:shape>
            </w:pict>
          </mc:Fallback>
        </mc:AlternateContent>
      </w:r>
    </w:p>
    <w:p w14:paraId="06BE4526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F84E4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4005A97" wp14:editId="6CA00D26">
            <wp:extent cx="3157268" cy="2493034"/>
            <wp:effectExtent l="0" t="0" r="5080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27170" r="30824"/>
                    <a:stretch/>
                  </pic:blipFill>
                  <pic:spPr bwMode="auto">
                    <a:xfrm>
                      <a:off x="0" y="0"/>
                      <a:ext cx="3163171" cy="249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A009B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63C16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3BE28C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Vliv velikosti daně na nadměrné daňové břemeno </w:t>
      </w:r>
    </w:p>
    <w:p w14:paraId="196EE470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3E4C6B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32550C8" wp14:editId="5998EABC">
            <wp:extent cx="4565126" cy="2622431"/>
            <wp:effectExtent l="0" t="0" r="6985" b="698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6352" b="7055"/>
                    <a:stretch/>
                  </pic:blipFill>
                  <pic:spPr bwMode="auto">
                    <a:xfrm>
                      <a:off x="0" y="0"/>
                      <a:ext cx="4572638" cy="2626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3428F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5D5B7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60AB1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90FD01" w14:textId="77777777" w:rsidR="00D61CC9" w:rsidRPr="00A04895" w:rsidRDefault="008E52D1" w:rsidP="00A04895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Vzniká v důsledku </w:t>
      </w:r>
      <w:r w:rsidR="00A04895">
        <w:rPr>
          <w:rFonts w:ascii="Times New Roman" w:hAnsi="Times New Roman" w:cs="Times New Roman"/>
          <w:sz w:val="24"/>
          <w:szCs w:val="24"/>
        </w:rPr>
        <w:t>………………….</w:t>
      </w:r>
      <w:r w:rsidRPr="00A04895">
        <w:rPr>
          <w:rFonts w:ascii="Times New Roman" w:hAnsi="Times New Roman" w:cs="Times New Roman"/>
          <w:sz w:val="24"/>
          <w:szCs w:val="24"/>
        </w:rPr>
        <w:t xml:space="preserve"> daní </w:t>
      </w:r>
    </w:p>
    <w:p w14:paraId="0646F32C" w14:textId="77777777" w:rsidR="00D61CC9" w:rsidRPr="00A04895" w:rsidRDefault="008E52D1" w:rsidP="00A04895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Na jeho velikost a vznik na straně výrobce nebo spotřebitele má vliv elasticita nabídky a poptávky, velikost a typ daně </w:t>
      </w:r>
    </w:p>
    <w:p w14:paraId="6AEB905C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E0E2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4214BC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2241F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49A07B" w14:textId="77777777" w:rsidR="00A04895" w:rsidRDefault="00A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9E8345" w14:textId="77777777" w:rsidR="00A04895" w:rsidRDefault="00A04895" w:rsidP="00A0489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89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Analýza dopadů daní na domácnost </w:t>
      </w:r>
    </w:p>
    <w:p w14:paraId="3A1EE02F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8B3720" w14:textId="77777777" w:rsidR="00D61CC9" w:rsidRPr="00A04895" w:rsidRDefault="008E52D1" w:rsidP="00A0489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Dopad změn daňových sazeb na přerozdělování disponibilního reálného důchodu domácností jako celku – </w:t>
      </w:r>
      <w:r w:rsidR="00A0489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A048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EAE79" w14:textId="77777777" w:rsidR="00D61CC9" w:rsidRPr="00A04895" w:rsidRDefault="008E52D1" w:rsidP="00A0489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Využití i pro měření globální progresivity daní </w:t>
      </w:r>
    </w:p>
    <w:p w14:paraId="44084EB8" w14:textId="77777777" w:rsidR="00D61CC9" w:rsidRPr="00A04895" w:rsidRDefault="008E52D1" w:rsidP="00A04895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Poměr potu domácností k celkovému důchodu, který domácnost získává </w:t>
      </w:r>
    </w:p>
    <w:p w14:paraId="3669CBB7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8ECBF" w14:textId="389C405E" w:rsidR="00A04895" w:rsidRDefault="00BA39EB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D5E1C0E" wp14:editId="7E6730FB">
            <wp:extent cx="4132053" cy="2251216"/>
            <wp:effectExtent l="0" t="0" r="190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28679" r="9451" b="5544"/>
                    <a:stretch/>
                  </pic:blipFill>
                  <pic:spPr bwMode="auto">
                    <a:xfrm>
                      <a:off x="0" y="0"/>
                      <a:ext cx="4140441" cy="2255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F16E1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4609C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3AFA97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Giniho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koeficient </w:t>
      </w:r>
    </w:p>
    <w:p w14:paraId="2FAC5C5B" w14:textId="77777777" w:rsidR="00D61CC9" w:rsidRPr="00A04895" w:rsidRDefault="008E52D1" w:rsidP="00A04895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Měří míru, ve které se Lorenzova křivka odchyluje od 45° linie rovnosti </w:t>
      </w:r>
    </w:p>
    <w:p w14:paraId="025FDF5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6A1C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794576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6A752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CC589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kde </w:t>
      </w:r>
      <w:r w:rsidRPr="00A04895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A04895">
        <w:rPr>
          <w:rFonts w:ascii="Times New Roman" w:hAnsi="Times New Roman" w:cs="Times New Roman"/>
          <w:sz w:val="24"/>
          <w:szCs w:val="24"/>
        </w:rPr>
        <w:t xml:space="preserve"> je plocha pod skutečnou Lorenzovou křivkou, </w:t>
      </w:r>
      <w:r w:rsidRPr="00A04895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04895">
        <w:rPr>
          <w:rFonts w:ascii="Times New Roman" w:hAnsi="Times New Roman" w:cs="Times New Roman"/>
          <w:sz w:val="24"/>
          <w:szCs w:val="24"/>
        </w:rPr>
        <w:t xml:space="preserve"> zbytek plochy do situace, kdy by v ekonomice bylo dosaženo absolutně rovnoměrného rozdělení důchodů.</w:t>
      </w:r>
    </w:p>
    <w:p w14:paraId="3CD30258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DC14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BBF244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4A0D1E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61FBF" w14:textId="77777777" w:rsidR="00D61CC9" w:rsidRPr="00A04895" w:rsidRDefault="008E52D1" w:rsidP="00A04895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G &lt;0;1&gt;</w:t>
      </w:r>
    </w:p>
    <w:p w14:paraId="035CD927" w14:textId="77777777" w:rsidR="00D61CC9" w:rsidRPr="00A04895" w:rsidRDefault="008E52D1" w:rsidP="00A04895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0 … </w:t>
      </w:r>
      <w:r w:rsidR="00A04895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A04895">
        <w:rPr>
          <w:rFonts w:ascii="Times New Roman" w:hAnsi="Times New Roman" w:cs="Times New Roman"/>
          <w:sz w:val="24"/>
          <w:szCs w:val="24"/>
        </w:rPr>
        <w:t xml:space="preserve"> (všechny domácnosti mají stejně) </w:t>
      </w:r>
    </w:p>
    <w:p w14:paraId="1C035CD3" w14:textId="77777777" w:rsidR="00D61CC9" w:rsidRPr="00A04895" w:rsidRDefault="00A04895" w:rsidP="00A04895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8E52D1" w:rsidRPr="00A04895">
        <w:rPr>
          <w:rFonts w:ascii="Times New Roman" w:hAnsi="Times New Roman" w:cs="Times New Roman"/>
          <w:sz w:val="24"/>
          <w:szCs w:val="24"/>
        </w:rPr>
        <w:t>erovnoměrně rozdělené důchody (1 domácnost vlastní 100 % důchodu společnosti)</w:t>
      </w:r>
    </w:p>
    <w:p w14:paraId="480CD235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92701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8A0C7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Disponibilní důchod domácnosti </w:t>
      </w:r>
    </w:p>
    <w:p w14:paraId="680DB095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Pomocí Lorenzovy křivky je možně měřit globální progresivitu daní </w:t>
      </w:r>
    </w:p>
    <w:p w14:paraId="703C4587" w14:textId="77777777" w:rsidR="00D61CC9" w:rsidRPr="00A04895" w:rsidRDefault="008E52D1" w:rsidP="00A0489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Ukazatele </w:t>
      </w:r>
      <w:r w:rsidR="00A0489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A048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4895">
        <w:rPr>
          <w:rFonts w:ascii="Times New Roman" w:hAnsi="Times New Roman" w:cs="Times New Roman"/>
          <w:sz w:val="24"/>
          <w:szCs w:val="24"/>
        </w:rPr>
        <w:t xml:space="preserve">progresivity </w:t>
      </w:r>
    </w:p>
    <w:p w14:paraId="5344407B" w14:textId="77777777" w:rsidR="00D61CC9" w:rsidRPr="00A04895" w:rsidRDefault="008E52D1" w:rsidP="00A0489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Ukazatele intervalové progresivity</w:t>
      </w:r>
    </w:p>
    <w:p w14:paraId="7C6A9302" w14:textId="77777777" w:rsidR="00D61CC9" w:rsidRPr="00A04895" w:rsidRDefault="008E52D1" w:rsidP="00A04895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 xml:space="preserve">Ukazatele globální progresivity </w:t>
      </w:r>
    </w:p>
    <w:p w14:paraId="73975F38" w14:textId="77777777" w:rsidR="00A04895" w:rsidRDefault="00A04895" w:rsidP="00A0489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Negativní důchodová daň </w:t>
      </w:r>
    </w:p>
    <w:p w14:paraId="112CE0BB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D6872" w14:textId="77777777" w:rsidR="00BA39EB" w:rsidRPr="00367B34" w:rsidRDefault="00BA39EB" w:rsidP="00BA39E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sz w:val="24"/>
          <w:szCs w:val="24"/>
        </w:rPr>
        <w:t xml:space="preserve">garantovaný důchod“ – částka, kterou musí získat každý poplatník nebo domácnost </w:t>
      </w:r>
    </w:p>
    <w:p w14:paraId="2A1C98E9" w14:textId="77777777" w:rsidR="00BA39EB" w:rsidRPr="00367B34" w:rsidRDefault="00BA39EB" w:rsidP="00BA39E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sz w:val="24"/>
          <w:szCs w:val="24"/>
        </w:rPr>
        <w:t xml:space="preserve">Daň platí ti, jejíž příjem přesahuje garantovaný důchod </w:t>
      </w:r>
    </w:p>
    <w:p w14:paraId="2622DEAA" w14:textId="77777777" w:rsidR="00BA39EB" w:rsidRPr="00367B34" w:rsidRDefault="00BA39EB" w:rsidP="00BA39EB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sz w:val="24"/>
          <w:szCs w:val="24"/>
        </w:rPr>
        <w:t xml:space="preserve">Ti, co nedosáhnou garantovaného důchodu dostávají negativní důchodovou daň </w:t>
      </w:r>
    </w:p>
    <w:p w14:paraId="22C4E631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FB5BF" w14:textId="6A8E8E23" w:rsidR="00BA39EB" w:rsidRPr="00367B34" w:rsidRDefault="00BA39EB" w:rsidP="00BA39EB">
      <w:pPr>
        <w:numPr>
          <w:ilvl w:val="0"/>
          <w:numId w:val="3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 xml:space="preserve">T = </w:t>
      </w:r>
    </w:p>
    <w:p w14:paraId="33AC5952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>T je transferová platba</w:t>
      </w:r>
    </w:p>
    <w:p w14:paraId="75EB7F38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G velikost garantovaného důchodu </w:t>
      </w:r>
    </w:p>
    <w:p w14:paraId="667C7EC7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 dosažené příjmy za zdaňovací období </w:t>
      </w:r>
    </w:p>
    <w:p w14:paraId="511886D0" w14:textId="0A25A3C8" w:rsidR="00BA39EB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Pr="00367B3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367B3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  <w:proofErr w:type="gramStart"/>
      <w:r w:rsidRPr="00367B34">
        <w:rPr>
          <w:rFonts w:ascii="Times New Roman" w:hAnsi="Times New Roman" w:cs="Times New Roman"/>
          <w:i/>
          <w:iCs/>
          <w:sz w:val="24"/>
          <w:szCs w:val="24"/>
        </w:rPr>
        <w:t xml:space="preserve"> ..</w:t>
      </w:r>
      <w:proofErr w:type="gramEnd"/>
      <w:r w:rsidRPr="00367B34">
        <w:rPr>
          <w:rFonts w:ascii="Times New Roman" w:hAnsi="Times New Roman" w:cs="Times New Roman"/>
          <w:i/>
          <w:iCs/>
          <w:sz w:val="24"/>
          <w:szCs w:val="24"/>
        </w:rPr>
        <w:t xml:space="preserve"> Sazba negativní důchodové daně </w:t>
      </w:r>
    </w:p>
    <w:p w14:paraId="6108DA70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4F8B055" w14:textId="021C548F" w:rsidR="00BA39EB" w:rsidRPr="00367B34" w:rsidRDefault="00BA39EB" w:rsidP="00BA39EB">
      <w:pPr>
        <w:numPr>
          <w:ilvl w:val="0"/>
          <w:numId w:val="35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367B3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T</w:t>
      </w:r>
      <w:r w:rsidRPr="00367B3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</w:p>
    <w:p w14:paraId="43916D64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>Y</w:t>
      </w:r>
      <w:r w:rsidRPr="00367B3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T</w:t>
      </w:r>
      <w:r w:rsidRPr="00367B34">
        <w:rPr>
          <w:rFonts w:ascii="Times New Roman" w:hAnsi="Times New Roman" w:cs="Times New Roman"/>
          <w:i/>
          <w:iCs/>
          <w:sz w:val="24"/>
          <w:szCs w:val="24"/>
        </w:rPr>
        <w:t xml:space="preserve"> celkový důchod poplatníka </w:t>
      </w:r>
    </w:p>
    <w:p w14:paraId="3D1E7E3A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Y původní důchod poplatníka </w:t>
      </w:r>
    </w:p>
    <w:p w14:paraId="55DD5C4C" w14:textId="77777777" w:rsidR="00BA39EB" w:rsidRPr="00367B34" w:rsidRDefault="00BA39EB" w:rsidP="00BA39EB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67B3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 transferová platba </w:t>
      </w:r>
    </w:p>
    <w:p w14:paraId="282AB8A9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AF833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negativní důchodové daně </w:t>
      </w:r>
    </w:p>
    <w:p w14:paraId="7C1076F8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0FC03" w14:textId="77777777" w:rsidR="00BA39EB" w:rsidRDefault="00BA39EB" w:rsidP="00BA3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B3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624CDB8" wp14:editId="7CF5006E">
            <wp:extent cx="4565166" cy="2260121"/>
            <wp:effectExtent l="0" t="0" r="6985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5849" b="18141"/>
                    <a:stretch/>
                  </pic:blipFill>
                  <pic:spPr bwMode="auto">
                    <a:xfrm>
                      <a:off x="0" y="0"/>
                      <a:ext cx="4572638" cy="226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E7710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CA51AB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b/>
          <w:bCs/>
          <w:sz w:val="24"/>
          <w:szCs w:val="24"/>
        </w:rPr>
        <w:t>Příklad 1</w:t>
      </w:r>
      <w:r w:rsidR="00AE3EB8">
        <w:rPr>
          <w:rFonts w:ascii="Times New Roman" w:hAnsi="Times New Roman" w:cs="Times New Roman"/>
          <w:b/>
          <w:bCs/>
          <w:sz w:val="24"/>
          <w:szCs w:val="24"/>
        </w:rPr>
        <w:t xml:space="preserve"> – Negativní důchodová daň </w:t>
      </w:r>
    </w:p>
    <w:p w14:paraId="2CABD115" w14:textId="77777777" w:rsidR="00A04895" w:rsidRP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895">
        <w:rPr>
          <w:rFonts w:ascii="Times New Roman" w:hAnsi="Times New Roman" w:cs="Times New Roman"/>
          <w:sz w:val="24"/>
          <w:szCs w:val="24"/>
        </w:rPr>
        <w:t>Předpokládejte garantovaný důchod (G) ve výši 2 000. Sazba negativní důchodové daně je 50 % (</w:t>
      </w:r>
      <w:proofErr w:type="spellStart"/>
      <w:r w:rsidRPr="00A04895">
        <w:rPr>
          <w:rFonts w:ascii="Times New Roman" w:hAnsi="Times New Roman" w:cs="Times New Roman"/>
          <w:sz w:val="24"/>
          <w:szCs w:val="24"/>
        </w:rPr>
        <w:t>t</w:t>
      </w:r>
      <w:r w:rsidRPr="00A04895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A04895">
        <w:rPr>
          <w:rFonts w:ascii="Times New Roman" w:hAnsi="Times New Roman" w:cs="Times New Roman"/>
          <w:sz w:val="24"/>
          <w:szCs w:val="24"/>
        </w:rPr>
        <w:t>). Celkový důchod poplatníka Y</w:t>
      </w:r>
      <w:r w:rsidRPr="00A04895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A04895">
        <w:rPr>
          <w:rFonts w:ascii="Times New Roman" w:hAnsi="Times New Roman" w:cs="Times New Roman"/>
          <w:sz w:val="24"/>
          <w:szCs w:val="24"/>
        </w:rPr>
        <w:t xml:space="preserve"> je 4 500 Kč. Vypočítejte hodnotu vlastního důchodu </w:t>
      </w:r>
      <w:r w:rsidRPr="008E52D1">
        <w:rPr>
          <w:rFonts w:ascii="Times New Roman" w:hAnsi="Times New Roman" w:cs="Times New Roman"/>
          <w:i/>
          <w:sz w:val="24"/>
          <w:szCs w:val="24"/>
        </w:rPr>
        <w:t>Y</w:t>
      </w:r>
      <w:r w:rsidRPr="00A04895">
        <w:rPr>
          <w:rFonts w:ascii="Times New Roman" w:hAnsi="Times New Roman" w:cs="Times New Roman"/>
          <w:sz w:val="24"/>
          <w:szCs w:val="24"/>
        </w:rPr>
        <w:t xml:space="preserve"> pro daného poplatníka. </w:t>
      </w:r>
    </w:p>
    <w:p w14:paraId="5680E2CD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89B9F3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F7333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E32FCA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D1E11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7492B" w14:textId="77777777" w:rsidR="00A04895" w:rsidRDefault="00A04895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6ECC0A" w14:textId="77777777" w:rsidR="00AC206B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6782B" w14:textId="77777777" w:rsidR="00AC206B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A5644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Daň z hazardních her</w:t>
      </w:r>
    </w:p>
    <w:p w14:paraId="72AC2EC4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528AFAA8" w14:textId="77777777" w:rsidR="009A3B2D" w:rsidRPr="00745745" w:rsidRDefault="009A3B2D" w:rsidP="009A3B2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745745">
        <w:rPr>
          <w:rFonts w:ascii="Times New Roman" w:hAnsi="Times New Roman" w:cs="Times New Roman"/>
          <w:b/>
          <w:sz w:val="24"/>
        </w:rPr>
        <w:t xml:space="preserve">Předmět daně a právní úprava </w:t>
      </w:r>
    </w:p>
    <w:p w14:paraId="38BED6C6" w14:textId="77777777" w:rsidR="009A3B2D" w:rsidRPr="00745745" w:rsidRDefault="009A3B2D" w:rsidP="009A3B2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>Předmět daně: provozování hazardní hry na území České republiky (na základě povolení nebo dle zákona upravující hazardní hry)</w:t>
      </w:r>
    </w:p>
    <w:p w14:paraId="0C42384F" w14:textId="77777777" w:rsidR="009A3B2D" w:rsidRDefault="009A3B2D" w:rsidP="009A3B2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 xml:space="preserve">Právní úprava: zákon č. 187/2016 Sb., </w:t>
      </w:r>
      <w:r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376E206" w14:textId="77777777" w:rsidR="009A3B2D" w:rsidRPr="006A4900" w:rsidRDefault="009A3B2D" w:rsidP="009A3B2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</w:t>
      </w:r>
      <w:r w:rsidRPr="006A4900">
        <w:rPr>
          <w:rFonts w:ascii="Times New Roman" w:hAnsi="Times New Roman" w:cs="Times New Roman"/>
          <w:sz w:val="24"/>
        </w:rPr>
        <w:t xml:space="preserve"> - hra, sázka nebo los, do nichž sázející vloží sázku, jejíž návratnost se nezaručuje a v nichž o výhře nebo prohře rozhoduje zcela nebo zčásti náhoda nebo neznámá okolnost</w:t>
      </w:r>
    </w:p>
    <w:p w14:paraId="62C9EA47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2D876C" w14:textId="77777777" w:rsidR="009A3B2D" w:rsidRPr="00745745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</w:t>
      </w:r>
    </w:p>
    <w:p w14:paraId="28B12E13" w14:textId="77777777" w:rsidR="009A3B2D" w:rsidRPr="00745745" w:rsidRDefault="009A3B2D" w:rsidP="009A3B2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>Provozovatel loterie nebo jiné podobné hry</w:t>
      </w:r>
    </w:p>
    <w:p w14:paraId="304161D9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7539E98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Daň z hazardních her se skládá: </w:t>
      </w:r>
    </w:p>
    <w:p w14:paraId="3DF8021D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daň z</w:t>
      </w:r>
      <w:r>
        <w:rPr>
          <w:rFonts w:ascii="Times New Roman" w:hAnsi="Times New Roman" w:cs="Times New Roman"/>
          <w:sz w:val="24"/>
        </w:rPr>
        <w:t> </w:t>
      </w:r>
      <w:r w:rsidRPr="006A4900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………………</w:t>
      </w:r>
      <w:r w:rsidRPr="006A4900">
        <w:rPr>
          <w:rFonts w:ascii="Times New Roman" w:hAnsi="Times New Roman" w:cs="Times New Roman"/>
          <w:sz w:val="24"/>
        </w:rPr>
        <w:t xml:space="preserve">, </w:t>
      </w:r>
    </w:p>
    <w:p w14:paraId="6E75E4A7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daň z kursových sázek, </w:t>
      </w:r>
    </w:p>
    <w:p w14:paraId="3BD1DDDE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daň z bing, </w:t>
      </w:r>
    </w:p>
    <w:p w14:paraId="7D396995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daň z technických her, </w:t>
      </w:r>
    </w:p>
    <w:p w14:paraId="1E947477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daň z živých her, </w:t>
      </w:r>
    </w:p>
    <w:p w14:paraId="4044AC1B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daň z tombol,</w:t>
      </w:r>
    </w:p>
    <w:p w14:paraId="258B6E76" w14:textId="77777777" w:rsidR="009A3B2D" w:rsidRPr="006A4900" w:rsidRDefault="009A3B2D" w:rsidP="009A3B2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daň z turnajů malého rozsahu.</w:t>
      </w:r>
    </w:p>
    <w:p w14:paraId="711978DC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93E8183" w14:textId="77777777" w:rsidR="009A3B2D" w:rsidRPr="006A4900" w:rsidRDefault="009A3B2D" w:rsidP="009A3B2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Základ je rozdělen na 8 dílčích základů</w:t>
      </w:r>
    </w:p>
    <w:p w14:paraId="6DFB6683" w14:textId="77777777" w:rsidR="009A3B2D" w:rsidRPr="006A4900" w:rsidRDefault="009A3B2D" w:rsidP="009A3B2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Princip </w:t>
      </w:r>
      <w:r>
        <w:rPr>
          <w:rFonts w:ascii="Times New Roman" w:hAnsi="Times New Roman" w:cs="Times New Roman"/>
          <w:sz w:val="24"/>
        </w:rPr>
        <w:t>…………</w:t>
      </w:r>
      <w:r w:rsidRPr="006A4900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6A4900">
        <w:rPr>
          <w:rFonts w:ascii="Times New Roman" w:hAnsi="Times New Roman" w:cs="Times New Roman"/>
          <w:sz w:val="24"/>
        </w:rPr>
        <w:t>částka</w:t>
      </w:r>
      <w:proofErr w:type="gramEnd"/>
      <w:r w:rsidRPr="006A4900">
        <w:rPr>
          <w:rFonts w:ascii="Times New Roman" w:hAnsi="Times New Roman" w:cs="Times New Roman"/>
          <w:sz w:val="24"/>
        </w:rPr>
        <w:t xml:space="preserve"> o kterou úhrn přijatých a nevrácených vkladů (IN) převyšuje úhrn vyplacených výher (OUT). Ve světě obvyklý i princip IN, tedy pouze vklady. </w:t>
      </w:r>
    </w:p>
    <w:p w14:paraId="6098AD65" w14:textId="77777777" w:rsidR="009A3B2D" w:rsidRPr="006A4900" w:rsidRDefault="009A3B2D" w:rsidP="009A3B2D">
      <w:pPr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Vklad - jakékoliv plnění opravňující k účasti na hazardní hře, zejména sázka a další plnění stanovené provozovatelem, opravňující k účasti na hazardní hře. </w:t>
      </w:r>
    </w:p>
    <w:p w14:paraId="5C40D4A1" w14:textId="77777777" w:rsidR="009A3B2D" w:rsidRPr="006A4900" w:rsidRDefault="009A3B2D" w:rsidP="009A3B2D">
      <w:pPr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Sázka - sázejícím dobrovolně určené nevratné plnění, které bude porovnáváno s výsledkem hazardní hry. </w:t>
      </w:r>
    </w:p>
    <w:p w14:paraId="3E2A15A1" w14:textId="77777777" w:rsidR="009A3B2D" w:rsidRPr="006A4900" w:rsidRDefault="009A3B2D" w:rsidP="009A3B2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V případě her, kdy čeští hráči hrají proti cizím hráčům se použije složitější vzorec, odpovídající trojčlence: z celosvětového IN-OUT do českého základu daně vstoupí pouze ta část, která poměrně odpovídá českému IN (úhrn přijatých a nevrácených vkladů), </w:t>
      </w:r>
    </w:p>
    <w:p w14:paraId="6F8CA5F7" w14:textId="77777777" w:rsidR="009A3B2D" w:rsidRPr="006A4900" w:rsidRDefault="009A3B2D" w:rsidP="009A3B2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dílčí základ daně je konstruován jako kladný rozdíl mezi celkovým množstvím přijatých a nevrácených vkladů a celkovým množstvím vyplacených výher</w:t>
      </w:r>
    </w:p>
    <w:p w14:paraId="01C7E4D4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CA2424C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</w:t>
      </w:r>
    </w:p>
    <w:p w14:paraId="27D6610A" w14:textId="77777777" w:rsidR="009A3B2D" w:rsidRPr="00745745" w:rsidRDefault="009A3B2D" w:rsidP="009A3B2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>Součet dílčích základů daně (celkem 8 dle typu her) – tvoří částku</w:t>
      </w:r>
      <w:r>
        <w:rPr>
          <w:rFonts w:ascii="Times New Roman" w:hAnsi="Times New Roman" w:cs="Times New Roman"/>
          <w:sz w:val="24"/>
        </w:rPr>
        <w:t>,</w:t>
      </w:r>
      <w:r w:rsidRPr="00745745">
        <w:rPr>
          <w:rFonts w:ascii="Times New Roman" w:hAnsi="Times New Roman" w:cs="Times New Roman"/>
          <w:sz w:val="24"/>
        </w:rPr>
        <w:t xml:space="preserve"> o kterou úhrn přijatých vkladů převyšuje součet úhrnu vyplacených výher a úhrnu vrácených vkladů (princip IN-OUT)</w:t>
      </w:r>
    </w:p>
    <w:p w14:paraId="665577C0" w14:textId="77777777" w:rsidR="009A3B2D" w:rsidRDefault="009A3B2D" w:rsidP="009A3B2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>Celkový základ daně se zaokrouhluje na celé 100 Kč nahoru</w:t>
      </w:r>
    </w:p>
    <w:p w14:paraId="77DFE6A6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A06FB4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CEA40E8" w14:textId="77777777" w:rsidR="009A3B2D" w:rsidRPr="00745745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1C8C910" w14:textId="77777777" w:rsidR="009A3B2D" w:rsidRPr="00745745" w:rsidRDefault="009A3B2D" w:rsidP="009A3B2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lastRenderedPageBreak/>
        <w:t>Sazba daně</w:t>
      </w:r>
    </w:p>
    <w:p w14:paraId="6ED66146" w14:textId="77777777" w:rsidR="009A3B2D" w:rsidRPr="006A4900" w:rsidRDefault="009A3B2D" w:rsidP="009A3B2D">
      <w:pPr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6A4900">
        <w:rPr>
          <w:rFonts w:ascii="Times New Roman" w:hAnsi="Times New Roman" w:cs="Times New Roman"/>
          <w:sz w:val="24"/>
        </w:rPr>
        <w:t xml:space="preserve"> % sazba pro dílčí daň z kurzových sázek, totalizátorových her, tombol a turnajů malého rozsahu, </w:t>
      </w:r>
    </w:p>
    <w:p w14:paraId="315E9AF0" w14:textId="77777777" w:rsidR="009A3B2D" w:rsidRPr="006A4900" w:rsidRDefault="009A3B2D" w:rsidP="009A3B2D">
      <w:pPr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6A4900">
        <w:rPr>
          <w:rFonts w:ascii="Times New Roman" w:hAnsi="Times New Roman" w:cs="Times New Roman"/>
          <w:sz w:val="24"/>
        </w:rPr>
        <w:t xml:space="preserve"> % sazba pro dílčí daň z loterií, bing a živých her, </w:t>
      </w:r>
    </w:p>
    <w:p w14:paraId="156AC13B" w14:textId="77777777" w:rsidR="009A3B2D" w:rsidRPr="006A4900" w:rsidRDefault="009A3B2D" w:rsidP="009A3B2D">
      <w:pPr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6A4900">
        <w:rPr>
          <w:rFonts w:ascii="Times New Roman" w:hAnsi="Times New Roman" w:cs="Times New Roman"/>
          <w:sz w:val="24"/>
        </w:rPr>
        <w:t xml:space="preserve"> % sazba pro technické hry</w:t>
      </w:r>
    </w:p>
    <w:p w14:paraId="3B83B852" w14:textId="77777777" w:rsidR="009A3B2D" w:rsidRPr="00745745" w:rsidRDefault="009A3B2D" w:rsidP="009A3B2D">
      <w:pPr>
        <w:spacing w:after="0"/>
        <w:ind w:left="720"/>
        <w:jc w:val="both"/>
        <w:rPr>
          <w:rFonts w:ascii="Times New Roman" w:hAnsi="Times New Roman" w:cs="Times New Roman"/>
          <w:sz w:val="24"/>
        </w:rPr>
      </w:pPr>
    </w:p>
    <w:p w14:paraId="4742EAFE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Zdaňovací období a daňové přiznání</w:t>
      </w:r>
    </w:p>
    <w:p w14:paraId="6D3DFDDE" w14:textId="77777777" w:rsidR="009A3B2D" w:rsidRPr="00745745" w:rsidRDefault="009A3B2D" w:rsidP="009A3B2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 xml:space="preserve">Zdaňovací období: </w:t>
      </w:r>
      <w:r>
        <w:rPr>
          <w:rFonts w:ascii="Times New Roman" w:hAnsi="Times New Roman" w:cs="Times New Roman"/>
          <w:sz w:val="24"/>
        </w:rPr>
        <w:t>……………………………………</w:t>
      </w:r>
    </w:p>
    <w:p w14:paraId="7E41278E" w14:textId="77777777" w:rsidR="009A3B2D" w:rsidRDefault="009A3B2D" w:rsidP="009A3B2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5745">
        <w:rPr>
          <w:rFonts w:ascii="Times New Roman" w:hAnsi="Times New Roman" w:cs="Times New Roman"/>
          <w:sz w:val="24"/>
        </w:rPr>
        <w:t>Daňová přiznání se podává elektronicky, do</w:t>
      </w:r>
      <w:proofErr w:type="gramStart"/>
      <w:r w:rsidRPr="007457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….</w:t>
      </w:r>
      <w:proofErr w:type="gramEnd"/>
      <w:r>
        <w:rPr>
          <w:rFonts w:ascii="Times New Roman" w:hAnsi="Times New Roman" w:cs="Times New Roman"/>
          <w:sz w:val="24"/>
        </w:rPr>
        <w:t>.</w:t>
      </w:r>
      <w:r w:rsidRPr="00745745">
        <w:rPr>
          <w:rFonts w:ascii="Times New Roman" w:hAnsi="Times New Roman" w:cs="Times New Roman"/>
          <w:sz w:val="24"/>
        </w:rPr>
        <w:t xml:space="preserve"> dnů po skončení zdaňovacího období </w:t>
      </w:r>
    </w:p>
    <w:p w14:paraId="249760CF" w14:textId="77777777" w:rsidR="009A3B2D" w:rsidRPr="006A4900" w:rsidRDefault="009A3B2D" w:rsidP="009A3B2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Daň se nevyměřuje rozhodnutím správce daně (platebním výměrem), ale uplatní se fikce vyměření přímo podáním daňového přiznání. </w:t>
      </w:r>
    </w:p>
    <w:p w14:paraId="5E69A02B" w14:textId="77777777" w:rsidR="009A3B2D" w:rsidRPr="006A4900" w:rsidRDefault="009A3B2D" w:rsidP="009A3B2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Pokud se přiznání nepodá, uplatní se fikce, že bylo podáno a tvrdila se v něm daň ve výši 0 Kč. </w:t>
      </w:r>
    </w:p>
    <w:p w14:paraId="15326997" w14:textId="77777777" w:rsidR="009A3B2D" w:rsidRDefault="009A3B2D" w:rsidP="009A3B2D">
      <w:pPr>
        <w:spacing w:after="0"/>
        <w:ind w:left="360"/>
        <w:jc w:val="both"/>
        <w:rPr>
          <w:rFonts w:ascii="Times New Roman" w:hAnsi="Times New Roman" w:cs="Times New Roman"/>
          <w:sz w:val="24"/>
        </w:rPr>
      </w:pPr>
    </w:p>
    <w:p w14:paraId="4A0982C6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9EAB341" w14:textId="77777777" w:rsidR="009A3B2D" w:rsidRPr="00DC7BE0" w:rsidRDefault="009A3B2D" w:rsidP="009A3B2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C7BE0">
        <w:rPr>
          <w:rFonts w:ascii="Times New Roman" w:hAnsi="Times New Roman" w:cs="Times New Roman"/>
          <w:b/>
          <w:sz w:val="24"/>
        </w:rPr>
        <w:t>Výhry z hazardu a jejich zdanění</w:t>
      </w:r>
    </w:p>
    <w:p w14:paraId="6BEBAFD5" w14:textId="77777777" w:rsidR="009A3B2D" w:rsidRPr="006A4900" w:rsidRDefault="009A3B2D" w:rsidP="009A3B2D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se daní podle zákona o dani z příjmů fyzických osob (586/1992 Sb.), </w:t>
      </w:r>
    </w:p>
    <w:p w14:paraId="4BC57BCF" w14:textId="77777777" w:rsidR="009A3B2D" w:rsidRPr="006A4900" w:rsidRDefault="009A3B2D" w:rsidP="009A3B2D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Výhry z loterie a tomboly jsou od daně z příjmů osvobozeny, po</w:t>
      </w:r>
      <w:r>
        <w:rPr>
          <w:rFonts w:ascii="Times New Roman" w:hAnsi="Times New Roman" w:cs="Times New Roman"/>
          <w:sz w:val="24"/>
        </w:rPr>
        <w:t>kud výše výhry nepřesahuje ………………… Kč</w:t>
      </w:r>
      <w:r w:rsidRPr="006A4900">
        <w:rPr>
          <w:rFonts w:ascii="Times New Roman" w:hAnsi="Times New Roman" w:cs="Times New Roman"/>
          <w:sz w:val="24"/>
        </w:rPr>
        <w:t>. V tomto případě je rozhodná výše konkrétní výhry, jednotlivé výhry v rámci jednoho zdaňovacího období se u fyzické osoby nesčítají.</w:t>
      </w:r>
    </w:p>
    <w:p w14:paraId="722B90BC" w14:textId="77777777" w:rsidR="009A3B2D" w:rsidRPr="006A4900" w:rsidRDefault="009A3B2D" w:rsidP="009A3B2D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U ostatních výher z hazardních her je nutné u jednotlivého druhu hazardní hry zkoumat, zda rozdíl mezi úhrnem výher z daného druhu hazardní hry a úhrnem vkladů za</w:t>
      </w:r>
      <w:r>
        <w:rPr>
          <w:rFonts w:ascii="Times New Roman" w:hAnsi="Times New Roman" w:cs="Times New Roman"/>
          <w:sz w:val="24"/>
        </w:rPr>
        <w:t xml:space="preserve"> zdaňovací období přesáhl 1 000 000</w:t>
      </w:r>
      <w:r w:rsidRPr="006A4900">
        <w:rPr>
          <w:rFonts w:ascii="Times New Roman" w:hAnsi="Times New Roman" w:cs="Times New Roman"/>
          <w:sz w:val="24"/>
        </w:rPr>
        <w:t xml:space="preserve"> Kč.</w:t>
      </w:r>
    </w:p>
    <w:p w14:paraId="0C5C62A7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F4158F0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loterie a tomboly, </w:t>
      </w:r>
    </w:p>
    <w:p w14:paraId="18FDD8D7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kursové sázky a totalizátorové hry, </w:t>
      </w:r>
    </w:p>
    <w:p w14:paraId="5D7467ED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technické hry, </w:t>
      </w:r>
    </w:p>
    <w:p w14:paraId="55C3D54D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živé hry s výjimkou turnaje živé hry, </w:t>
      </w:r>
    </w:p>
    <w:p w14:paraId="54DABB85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 xml:space="preserve">turnaje živé hry a turnaje malého rozsahu, </w:t>
      </w:r>
    </w:p>
    <w:p w14:paraId="6658C145" w14:textId="77777777" w:rsidR="009A3B2D" w:rsidRPr="006A4900" w:rsidRDefault="009A3B2D" w:rsidP="009A3B2D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A4900">
        <w:rPr>
          <w:rFonts w:ascii="Times New Roman" w:hAnsi="Times New Roman" w:cs="Times New Roman"/>
          <w:sz w:val="24"/>
        </w:rPr>
        <w:t>jiné hazardní hry mimo výše uvedené</w:t>
      </w:r>
    </w:p>
    <w:p w14:paraId="75FB59BE" w14:textId="77777777" w:rsidR="009A3B2D" w:rsidRDefault="009A3B2D" w:rsidP="009A3B2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6AEBA85" w14:textId="77777777" w:rsidR="009A3B2D" w:rsidRPr="00DC7BE0" w:rsidRDefault="009A3B2D" w:rsidP="009A3B2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BE0">
        <w:rPr>
          <w:rFonts w:ascii="Times New Roman" w:hAnsi="Times New Roman" w:cs="Times New Roman"/>
          <w:sz w:val="24"/>
          <w:szCs w:val="24"/>
        </w:rPr>
        <w:t xml:space="preserve">výhry z her jako je Sportka společnosti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DC7BE0">
        <w:rPr>
          <w:rFonts w:ascii="Times New Roman" w:hAnsi="Times New Roman" w:cs="Times New Roman"/>
          <w:sz w:val="24"/>
          <w:szCs w:val="24"/>
        </w:rPr>
        <w:t xml:space="preserve"> nebo Eurojackpot do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DC7BE0">
        <w:rPr>
          <w:rFonts w:ascii="Times New Roman" w:hAnsi="Times New Roman" w:cs="Times New Roman"/>
          <w:sz w:val="24"/>
          <w:szCs w:val="24"/>
        </w:rPr>
        <w:t xml:space="preserve"> Kč včetně jsou od daně osvobozeny, počítá se přitom hrubá výše výhry nesnížená o vklad do hry ani žádné další výdaje, </w:t>
      </w:r>
    </w:p>
    <w:p w14:paraId="38365AC1" w14:textId="77777777" w:rsidR="009A3B2D" w:rsidRPr="00DC7BE0" w:rsidRDefault="009A3B2D" w:rsidP="009A3B2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BE0">
        <w:rPr>
          <w:rFonts w:ascii="Times New Roman" w:hAnsi="Times New Roman" w:cs="Times New Roman"/>
          <w:sz w:val="24"/>
          <w:szCs w:val="24"/>
        </w:rPr>
        <w:t>jednorázové výhry nad 1</w:t>
      </w:r>
      <w:r>
        <w:rPr>
          <w:rFonts w:ascii="Times New Roman" w:hAnsi="Times New Roman" w:cs="Times New Roman"/>
          <w:sz w:val="24"/>
          <w:szCs w:val="24"/>
        </w:rPr>
        <w:t> 000 000</w:t>
      </w:r>
      <w:r w:rsidRPr="00DC7BE0">
        <w:rPr>
          <w:rFonts w:ascii="Times New Roman" w:hAnsi="Times New Roman" w:cs="Times New Roman"/>
          <w:sz w:val="24"/>
          <w:szCs w:val="24"/>
        </w:rPr>
        <w:t xml:space="preserve"> Kč, podléhají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DC7BE0">
        <w:rPr>
          <w:rFonts w:ascii="Times New Roman" w:hAnsi="Times New Roman" w:cs="Times New Roman"/>
          <w:sz w:val="24"/>
          <w:szCs w:val="24"/>
        </w:rPr>
        <w:t>, srážková daň funguje tak, že ji strhne přímo provozovatel hry a odvede ji za výherce,</w:t>
      </w:r>
    </w:p>
    <w:p w14:paraId="1844812C" w14:textId="77777777" w:rsidR="009A3B2D" w:rsidRPr="00DC7BE0" w:rsidRDefault="009A3B2D" w:rsidP="009A3B2D">
      <w:pPr>
        <w:numPr>
          <w:ilvl w:val="0"/>
          <w:numId w:val="3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7BE0">
        <w:rPr>
          <w:rFonts w:ascii="Times New Roman" w:hAnsi="Times New Roman" w:cs="Times New Roman"/>
          <w:sz w:val="24"/>
          <w:szCs w:val="24"/>
        </w:rPr>
        <w:t>výhry z pokeru a ostatních hazardních her jsou zdaňovány jako ostatní příjem se sazbou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BE0">
        <w:rPr>
          <w:rFonts w:ascii="Times New Roman" w:hAnsi="Times New Roman" w:cs="Times New Roman"/>
          <w:sz w:val="24"/>
          <w:szCs w:val="24"/>
        </w:rPr>
        <w:t xml:space="preserve">%, </w:t>
      </w:r>
    </w:p>
    <w:p w14:paraId="171C2D69" w14:textId="77777777" w:rsidR="009A3B2D" w:rsidRPr="00DC7BE0" w:rsidRDefault="009A3B2D" w:rsidP="009A3B2D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7BE0">
        <w:rPr>
          <w:rFonts w:ascii="Times New Roman" w:hAnsi="Times New Roman" w:cs="Times New Roman"/>
          <w:sz w:val="24"/>
          <w:szCs w:val="24"/>
        </w:rPr>
        <w:t xml:space="preserve">na rozdíl od loterií u sázek a ostatních hazardních her daň nestrhne provozovatel hry, ale musí ji výherce zaplatit sám v rámci daňového přiznání, </w:t>
      </w:r>
    </w:p>
    <w:p w14:paraId="2F06C001" w14:textId="77777777" w:rsidR="009A3B2D" w:rsidRPr="00DC7BE0" w:rsidRDefault="009A3B2D" w:rsidP="009A3B2D">
      <w:pPr>
        <w:numPr>
          <w:ilvl w:val="0"/>
          <w:numId w:val="3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7BE0">
        <w:rPr>
          <w:rFonts w:ascii="Times New Roman" w:hAnsi="Times New Roman" w:cs="Times New Roman"/>
          <w:sz w:val="24"/>
          <w:szCs w:val="24"/>
        </w:rPr>
        <w:t xml:space="preserve">pokud základ daně u daného </w:t>
      </w:r>
      <w:r>
        <w:rPr>
          <w:rFonts w:ascii="Times New Roman" w:hAnsi="Times New Roman" w:cs="Times New Roman"/>
          <w:sz w:val="24"/>
          <w:szCs w:val="24"/>
        </w:rPr>
        <w:t>druhu příjmu nepřesáhne 1 000 000</w:t>
      </w:r>
      <w:r w:rsidRPr="00DC7BE0">
        <w:rPr>
          <w:rFonts w:ascii="Times New Roman" w:hAnsi="Times New Roman" w:cs="Times New Roman"/>
          <w:sz w:val="24"/>
          <w:szCs w:val="24"/>
        </w:rPr>
        <w:t xml:space="preserve"> Kč, je příjem z tohoto druhu hry od daně osvobozen a nemusí se ani uvádět do daňového přiznání,</w:t>
      </w:r>
    </w:p>
    <w:p w14:paraId="3100BC4F" w14:textId="77777777" w:rsidR="009A3B2D" w:rsidRDefault="009A3B2D" w:rsidP="009A3B2D">
      <w:pPr>
        <w:jc w:val="both"/>
        <w:rPr>
          <w:rFonts w:ascii="Times New Roman" w:hAnsi="Times New Roman" w:cs="Times New Roman"/>
          <w:sz w:val="24"/>
        </w:rPr>
      </w:pPr>
    </w:p>
    <w:p w14:paraId="0444E34B" w14:textId="77777777" w:rsidR="00AC206B" w:rsidRPr="00A04895" w:rsidRDefault="00AC206B" w:rsidP="00A0489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206B" w:rsidRPr="00A04895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B784" w14:textId="77777777" w:rsidR="00A04895" w:rsidRDefault="00A04895" w:rsidP="00A04895">
      <w:pPr>
        <w:spacing w:after="0" w:line="240" w:lineRule="auto"/>
      </w:pPr>
      <w:r>
        <w:separator/>
      </w:r>
    </w:p>
  </w:endnote>
  <w:endnote w:type="continuationSeparator" w:id="0">
    <w:p w14:paraId="0421B80D" w14:textId="77777777" w:rsidR="00A04895" w:rsidRDefault="00A04895" w:rsidP="00A0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E849" w14:textId="77777777" w:rsidR="00A04895" w:rsidRDefault="00A04895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Daňový systém ČR</w:t>
    </w:r>
    <w:r w:rsidR="00B94AF3">
      <w:rPr>
        <w:rFonts w:asciiTheme="majorHAnsi" w:eastAsiaTheme="majorEastAsia" w:hAnsiTheme="majorHAnsi" w:cstheme="majorBidi"/>
      </w:rPr>
      <w:t xml:space="preserve">             </w:t>
    </w:r>
    <w:r w:rsidR="000A60F0">
      <w:rPr>
        <w:rFonts w:asciiTheme="majorHAnsi" w:eastAsiaTheme="majorEastAsia" w:hAnsiTheme="majorHAnsi" w:cstheme="majorBidi"/>
      </w:rPr>
      <w:t xml:space="preserve">              9. přednáška – </w:t>
    </w:r>
    <w:r w:rsidR="00AE3EB8">
      <w:rPr>
        <w:rFonts w:asciiTheme="majorHAnsi" w:eastAsiaTheme="majorEastAsia" w:hAnsiTheme="majorHAnsi" w:cstheme="majorBidi"/>
      </w:rPr>
      <w:t>30</w:t>
    </w:r>
    <w:r>
      <w:rPr>
        <w:rFonts w:asciiTheme="majorHAnsi" w:eastAsiaTheme="majorEastAsia" w:hAnsiTheme="majorHAnsi" w:cstheme="majorBidi"/>
      </w:rPr>
      <w:t>.</w:t>
    </w:r>
    <w:r w:rsidR="00AE3EB8">
      <w:rPr>
        <w:rFonts w:asciiTheme="majorHAnsi" w:eastAsiaTheme="majorEastAsia" w:hAnsiTheme="majorHAnsi" w:cstheme="majorBidi"/>
      </w:rPr>
      <w:t>11</w:t>
    </w:r>
    <w:r>
      <w:rPr>
        <w:rFonts w:asciiTheme="majorHAnsi" w:eastAsiaTheme="majorEastAsia" w:hAnsiTheme="majorHAnsi" w:cstheme="majorBidi"/>
      </w:rPr>
      <w:t>.</w:t>
    </w:r>
    <w:r w:rsidR="000A60F0">
      <w:rPr>
        <w:rFonts w:asciiTheme="majorHAnsi" w:eastAsiaTheme="majorEastAsia" w:hAnsiTheme="majorHAnsi" w:cstheme="majorBidi"/>
      </w:rPr>
      <w:t>20</w:t>
    </w:r>
    <w:r w:rsidR="00AE3EB8">
      <w:rPr>
        <w:rFonts w:asciiTheme="majorHAnsi" w:eastAsiaTheme="majorEastAsia" w:hAnsiTheme="majorHAnsi" w:cstheme="majorBidi"/>
      </w:rPr>
      <w:t>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C05D78" w:rsidRPr="00C05D78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14:paraId="4ED9FD14" w14:textId="77777777" w:rsidR="00A04895" w:rsidRDefault="00A048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65F7" w14:textId="77777777" w:rsidR="00A04895" w:rsidRDefault="00A04895" w:rsidP="00A04895">
      <w:pPr>
        <w:spacing w:after="0" w:line="240" w:lineRule="auto"/>
      </w:pPr>
      <w:r>
        <w:separator/>
      </w:r>
    </w:p>
  </w:footnote>
  <w:footnote w:type="continuationSeparator" w:id="0">
    <w:p w14:paraId="5BDD054A" w14:textId="77777777" w:rsidR="00A04895" w:rsidRDefault="00A04895" w:rsidP="00A0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67B"/>
    <w:multiLevelType w:val="hybridMultilevel"/>
    <w:tmpl w:val="5C98A9CA"/>
    <w:lvl w:ilvl="0" w:tplc="1E609B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FCEC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0E2D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010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EEA0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1E57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9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89B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AE02C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384"/>
    <w:multiLevelType w:val="hybridMultilevel"/>
    <w:tmpl w:val="CB0629A6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AA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061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2C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14D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0C1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2C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8C0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38B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547602"/>
    <w:multiLevelType w:val="hybridMultilevel"/>
    <w:tmpl w:val="FAD8E69A"/>
    <w:lvl w:ilvl="0" w:tplc="4F4A52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966C4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B692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C929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F677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F88E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BEE8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07C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B6118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7745"/>
    <w:multiLevelType w:val="hybridMultilevel"/>
    <w:tmpl w:val="A796B37E"/>
    <w:lvl w:ilvl="0" w:tplc="9640AB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6C6466">
      <w:start w:val="12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5612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E90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CCC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DC1E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C8F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AC28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76D0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60EA7"/>
    <w:multiLevelType w:val="hybridMultilevel"/>
    <w:tmpl w:val="66D45132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04B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CD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C4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C7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968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CF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02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C9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A84F7E"/>
    <w:multiLevelType w:val="hybridMultilevel"/>
    <w:tmpl w:val="D256C218"/>
    <w:lvl w:ilvl="0" w:tplc="9EC0964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DEBA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5048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6060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9475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4A76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C6AE1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36C44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183E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71F11"/>
    <w:multiLevelType w:val="hybridMultilevel"/>
    <w:tmpl w:val="AF889ABC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3CD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08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CD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C6E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9C6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9E1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8D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2EC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0233F3"/>
    <w:multiLevelType w:val="hybridMultilevel"/>
    <w:tmpl w:val="44B8CFEE"/>
    <w:lvl w:ilvl="0" w:tplc="74069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622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4B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CE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AD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C4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4D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5A9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00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9F34446"/>
    <w:multiLevelType w:val="hybridMultilevel"/>
    <w:tmpl w:val="717E7A02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F86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AB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8A4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8E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E7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26FA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06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23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BA73BD"/>
    <w:multiLevelType w:val="hybridMultilevel"/>
    <w:tmpl w:val="BEDA64B0"/>
    <w:lvl w:ilvl="0" w:tplc="262818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52FA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9058C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2CD6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96EE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4D3E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E00D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E44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1CF1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D3423"/>
    <w:multiLevelType w:val="hybridMultilevel"/>
    <w:tmpl w:val="00AC45E4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F40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01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20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A8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28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AC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2C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44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095E43"/>
    <w:multiLevelType w:val="hybridMultilevel"/>
    <w:tmpl w:val="D8E68C58"/>
    <w:lvl w:ilvl="0" w:tplc="81B22E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69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1CDD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61E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6EFB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CE2D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EEA3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E29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3C51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B7450"/>
    <w:multiLevelType w:val="hybridMultilevel"/>
    <w:tmpl w:val="DFC2B53C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83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49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98C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CE8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049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C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64A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4C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7B62E9A"/>
    <w:multiLevelType w:val="hybridMultilevel"/>
    <w:tmpl w:val="4B963C8A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E0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4C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40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2AC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08A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646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EAC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49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E87CA3"/>
    <w:multiLevelType w:val="hybridMultilevel"/>
    <w:tmpl w:val="45347166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889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3E8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66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02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48F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E48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43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AD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DC7AD3"/>
    <w:multiLevelType w:val="hybridMultilevel"/>
    <w:tmpl w:val="62DAC22A"/>
    <w:lvl w:ilvl="0" w:tplc="57F02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4EB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08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2A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AF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EA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24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6E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26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4B83F87"/>
    <w:multiLevelType w:val="hybridMultilevel"/>
    <w:tmpl w:val="624C6A6E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CE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E3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644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6FE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63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4B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83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4B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65F12EC"/>
    <w:multiLevelType w:val="hybridMultilevel"/>
    <w:tmpl w:val="DC10EA3A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CB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4E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86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A2D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868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48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68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1E8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25F0B89"/>
    <w:multiLevelType w:val="hybridMultilevel"/>
    <w:tmpl w:val="6E74F9E2"/>
    <w:lvl w:ilvl="0" w:tplc="04E040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EC0BD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29C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62F5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867C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4EC7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867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72D7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B879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3091A"/>
    <w:multiLevelType w:val="hybridMultilevel"/>
    <w:tmpl w:val="77428402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608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22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62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27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0D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2C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0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167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9143679"/>
    <w:multiLevelType w:val="hybridMultilevel"/>
    <w:tmpl w:val="EE18D6A8"/>
    <w:lvl w:ilvl="0" w:tplc="6ED427A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E66A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7AB1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82D9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2B1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8C68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8CC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44D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3AF4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97221"/>
    <w:multiLevelType w:val="hybridMultilevel"/>
    <w:tmpl w:val="8E98E930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583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C7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2CB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060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64D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8E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EF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F263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29B449B"/>
    <w:multiLevelType w:val="hybridMultilevel"/>
    <w:tmpl w:val="74520A4A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FA4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4ED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4D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EA4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61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8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8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30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4A4ABD"/>
    <w:multiLevelType w:val="hybridMultilevel"/>
    <w:tmpl w:val="E4C85A82"/>
    <w:lvl w:ilvl="0" w:tplc="A6A23B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A2D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AD6C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A3F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6EC2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CA0B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2CD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22A0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90A6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54505"/>
    <w:multiLevelType w:val="hybridMultilevel"/>
    <w:tmpl w:val="1530297C"/>
    <w:lvl w:ilvl="0" w:tplc="EEDC11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8C8D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FA36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908A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A0BF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4070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D667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DCB3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6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122F0"/>
    <w:multiLevelType w:val="hybridMultilevel"/>
    <w:tmpl w:val="82F8EB6C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7A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3A9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27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AA5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FA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85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45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60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5427005"/>
    <w:multiLevelType w:val="hybridMultilevel"/>
    <w:tmpl w:val="9B4C2A26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259C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E1E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633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8FCD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0BB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6096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EA56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40A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2953"/>
    <w:multiLevelType w:val="hybridMultilevel"/>
    <w:tmpl w:val="1BBAF948"/>
    <w:lvl w:ilvl="0" w:tplc="E1F05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FB8A3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F5E41C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FD6A53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71EEAB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59A226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02AC0B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5E84D9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A8C9E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AB72EB"/>
    <w:multiLevelType w:val="hybridMultilevel"/>
    <w:tmpl w:val="2D56A83C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F07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4F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943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0F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C3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9A0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149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E6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CE567C9"/>
    <w:multiLevelType w:val="hybridMultilevel"/>
    <w:tmpl w:val="BDACDEFE"/>
    <w:lvl w:ilvl="0" w:tplc="505060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AAF9C">
      <w:start w:val="17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94993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06B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72CC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479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2AF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8C5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0CB3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F5B14"/>
    <w:multiLevelType w:val="hybridMultilevel"/>
    <w:tmpl w:val="E3443E9E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FEF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321A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34C7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A6B3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D834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1C82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9C76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DE04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70A1A2E"/>
    <w:multiLevelType w:val="hybridMultilevel"/>
    <w:tmpl w:val="04AEDD12"/>
    <w:lvl w:ilvl="0" w:tplc="B9C07D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9029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BE371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C98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A884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AF2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886D0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4C0F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2067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A0D55"/>
    <w:multiLevelType w:val="hybridMultilevel"/>
    <w:tmpl w:val="5D3E86F4"/>
    <w:lvl w:ilvl="0" w:tplc="E36C3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82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80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21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0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EC2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29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A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22C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A270CAE"/>
    <w:multiLevelType w:val="hybridMultilevel"/>
    <w:tmpl w:val="60203C28"/>
    <w:lvl w:ilvl="0" w:tplc="4384A8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64BDB4">
      <w:start w:val="68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1847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38FAE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479B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0AF9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2CC8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88A9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AA76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71EA3"/>
    <w:multiLevelType w:val="hybridMultilevel"/>
    <w:tmpl w:val="8B8860A8"/>
    <w:lvl w:ilvl="0" w:tplc="5BC29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76C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6D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768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0F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A1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AC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8CB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445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28"/>
  </w:num>
  <w:num w:numId="3">
    <w:abstractNumId w:val="19"/>
  </w:num>
  <w:num w:numId="4">
    <w:abstractNumId w:val="17"/>
  </w:num>
  <w:num w:numId="5">
    <w:abstractNumId w:val="16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14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30"/>
  </w:num>
  <w:num w:numId="16">
    <w:abstractNumId w:val="21"/>
  </w:num>
  <w:num w:numId="17">
    <w:abstractNumId w:val="34"/>
  </w:num>
  <w:num w:numId="18">
    <w:abstractNumId w:val="22"/>
  </w:num>
  <w:num w:numId="19">
    <w:abstractNumId w:val="0"/>
  </w:num>
  <w:num w:numId="20">
    <w:abstractNumId w:val="3"/>
  </w:num>
  <w:num w:numId="21">
    <w:abstractNumId w:val="9"/>
  </w:num>
  <w:num w:numId="22">
    <w:abstractNumId w:val="31"/>
  </w:num>
  <w:num w:numId="23">
    <w:abstractNumId w:val="27"/>
  </w:num>
  <w:num w:numId="24">
    <w:abstractNumId w:val="24"/>
  </w:num>
  <w:num w:numId="25">
    <w:abstractNumId w:val="26"/>
  </w:num>
  <w:num w:numId="26">
    <w:abstractNumId w:val="33"/>
  </w:num>
  <w:num w:numId="27">
    <w:abstractNumId w:val="18"/>
  </w:num>
  <w:num w:numId="28">
    <w:abstractNumId w:val="2"/>
  </w:num>
  <w:num w:numId="29">
    <w:abstractNumId w:val="29"/>
  </w:num>
  <w:num w:numId="30">
    <w:abstractNumId w:val="23"/>
  </w:num>
  <w:num w:numId="31">
    <w:abstractNumId w:val="5"/>
  </w:num>
  <w:num w:numId="32">
    <w:abstractNumId w:val="20"/>
  </w:num>
  <w:num w:numId="33">
    <w:abstractNumId w:val="11"/>
  </w:num>
  <w:num w:numId="34">
    <w:abstractNumId w:val="1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895"/>
    <w:rsid w:val="0005516A"/>
    <w:rsid w:val="000A60F0"/>
    <w:rsid w:val="001C38B5"/>
    <w:rsid w:val="00296BEE"/>
    <w:rsid w:val="00297F1F"/>
    <w:rsid w:val="00341A0A"/>
    <w:rsid w:val="004C1D88"/>
    <w:rsid w:val="006411E7"/>
    <w:rsid w:val="006A76A6"/>
    <w:rsid w:val="00896CDE"/>
    <w:rsid w:val="008E52D1"/>
    <w:rsid w:val="009A3B2D"/>
    <w:rsid w:val="00A04895"/>
    <w:rsid w:val="00AC206B"/>
    <w:rsid w:val="00AE3EB8"/>
    <w:rsid w:val="00B94AF3"/>
    <w:rsid w:val="00BA39EB"/>
    <w:rsid w:val="00C05D78"/>
    <w:rsid w:val="00C906D8"/>
    <w:rsid w:val="00CD6FAF"/>
    <w:rsid w:val="00D61CC9"/>
    <w:rsid w:val="00D772A6"/>
    <w:rsid w:val="00D9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FC88"/>
  <w15:docId w15:val="{88A50167-FEC9-4E36-8AFD-2448EE58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048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0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895"/>
  </w:style>
  <w:style w:type="paragraph" w:styleId="Zpat">
    <w:name w:val="footer"/>
    <w:basedOn w:val="Normln"/>
    <w:link w:val="ZpatChar"/>
    <w:uiPriority w:val="99"/>
    <w:unhideWhenUsed/>
    <w:rsid w:val="00A0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895"/>
  </w:style>
  <w:style w:type="paragraph" w:styleId="Textbubliny">
    <w:name w:val="Balloon Text"/>
    <w:basedOn w:val="Normln"/>
    <w:link w:val="TextbublinyChar"/>
    <w:uiPriority w:val="99"/>
    <w:semiHidden/>
    <w:unhideWhenUsed/>
    <w:rsid w:val="00A0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86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8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18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8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8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5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6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6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8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7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22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2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59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1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1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6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38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14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2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5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0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0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4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87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5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51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6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93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4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77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671C7-C2BE-48AC-97CE-3EBBAA63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1141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Krajnak Michal</cp:lastModifiedBy>
  <cp:revision>14</cp:revision>
  <dcterms:created xsi:type="dcterms:W3CDTF">2014-02-12T16:00:00Z</dcterms:created>
  <dcterms:modified xsi:type="dcterms:W3CDTF">2021-11-24T12:27:00Z</dcterms:modified>
</cp:coreProperties>
</file>