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6D" w:rsidRPr="0021636D" w:rsidRDefault="0021636D" w:rsidP="0021636D">
      <w:pPr>
        <w:spacing w:after="0" w:line="240" w:lineRule="auto"/>
        <w:jc w:val="center"/>
        <w:rPr>
          <w:b/>
          <w:sz w:val="32"/>
          <w:szCs w:val="24"/>
        </w:rPr>
      </w:pPr>
      <w:r w:rsidRPr="0021636D">
        <w:rPr>
          <w:b/>
          <w:sz w:val="32"/>
          <w:szCs w:val="24"/>
        </w:rPr>
        <w:t>Daňový systém ČR - zkouška</w:t>
      </w:r>
    </w:p>
    <w:p w:rsidR="0021636D" w:rsidRPr="0021636D" w:rsidRDefault="00C356EF" w:rsidP="0021636D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akademický rok 2021/2022</w:t>
      </w:r>
    </w:p>
    <w:p w:rsidR="0021636D" w:rsidRDefault="0021636D" w:rsidP="0021636D">
      <w:pPr>
        <w:spacing w:after="0"/>
        <w:jc w:val="both"/>
        <w:rPr>
          <w:sz w:val="24"/>
          <w:szCs w:val="24"/>
        </w:rPr>
      </w:pPr>
    </w:p>
    <w:p w:rsidR="0021636D" w:rsidRPr="0021636D" w:rsidRDefault="0021636D" w:rsidP="0021636D">
      <w:pPr>
        <w:spacing w:after="0"/>
        <w:jc w:val="both"/>
        <w:rPr>
          <w:sz w:val="24"/>
          <w:szCs w:val="24"/>
        </w:rPr>
      </w:pPr>
      <w:r w:rsidRPr="0021636D">
        <w:rPr>
          <w:sz w:val="24"/>
          <w:szCs w:val="24"/>
        </w:rPr>
        <w:t xml:space="preserve">Maximální počet bodů ze zkoušky – </w:t>
      </w:r>
      <w:r w:rsidRPr="00050498">
        <w:rPr>
          <w:b/>
          <w:sz w:val="24"/>
          <w:szCs w:val="24"/>
        </w:rPr>
        <w:t xml:space="preserve">60 </w:t>
      </w:r>
      <w:r w:rsidRPr="0021636D">
        <w:rPr>
          <w:sz w:val="24"/>
          <w:szCs w:val="24"/>
        </w:rPr>
        <w:t>bodů (celkem 2 otázky, každá otá</w:t>
      </w:r>
      <w:r>
        <w:rPr>
          <w:sz w:val="24"/>
          <w:szCs w:val="24"/>
        </w:rPr>
        <w:t>zka je hodnocena max. 30 body), zbylých až 40 bodů tvoří bodové hodnocení ze zápočtu</w:t>
      </w:r>
      <w:r w:rsidR="00C356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21636D" w:rsidRPr="0021636D" w:rsidRDefault="0021636D" w:rsidP="0021636D">
      <w:pPr>
        <w:spacing w:after="0"/>
        <w:jc w:val="both"/>
        <w:rPr>
          <w:b/>
          <w:sz w:val="24"/>
          <w:szCs w:val="24"/>
        </w:rPr>
      </w:pPr>
    </w:p>
    <w:p w:rsidR="0021636D" w:rsidRDefault="0021636D" w:rsidP="0021636D">
      <w:pPr>
        <w:jc w:val="both"/>
        <w:rPr>
          <w:sz w:val="24"/>
          <w:szCs w:val="24"/>
        </w:rPr>
      </w:pPr>
      <w:r>
        <w:rPr>
          <w:sz w:val="24"/>
          <w:szCs w:val="24"/>
        </w:rPr>
        <w:t>Při přípravě na zkoušku je nutno vycházet</w:t>
      </w:r>
      <w:r w:rsidRPr="0021636D">
        <w:rPr>
          <w:sz w:val="24"/>
          <w:szCs w:val="24"/>
        </w:rPr>
        <w:t xml:space="preserve"> </w:t>
      </w:r>
      <w:r w:rsidRPr="0021636D">
        <w:rPr>
          <w:b/>
          <w:sz w:val="24"/>
          <w:szCs w:val="24"/>
        </w:rPr>
        <w:t>z právního st</w:t>
      </w:r>
      <w:r w:rsidR="000B3C76">
        <w:rPr>
          <w:b/>
          <w:sz w:val="24"/>
          <w:szCs w:val="24"/>
        </w:rPr>
        <w:t>a</w:t>
      </w:r>
      <w:r w:rsidR="00C356EF">
        <w:rPr>
          <w:b/>
          <w:sz w:val="24"/>
          <w:szCs w:val="24"/>
        </w:rPr>
        <w:t>vu, který je platný pro rok 2021, příp. 2022</w:t>
      </w:r>
      <w:r w:rsidRPr="0021636D">
        <w:rPr>
          <w:sz w:val="24"/>
          <w:szCs w:val="24"/>
        </w:rPr>
        <w:t xml:space="preserve"> (v případě, že student odpovídá na otázky v souladu </w:t>
      </w:r>
      <w:r>
        <w:rPr>
          <w:sz w:val="24"/>
          <w:szCs w:val="24"/>
        </w:rPr>
        <w:t xml:space="preserve">s již </w:t>
      </w:r>
      <w:r w:rsidRPr="0021636D">
        <w:rPr>
          <w:sz w:val="24"/>
          <w:szCs w:val="24"/>
        </w:rPr>
        <w:t>neplatnou legislativou pro dřívější roky, je otázka hodnocena tak, jak</w:t>
      </w:r>
      <w:r w:rsidR="007367B1">
        <w:rPr>
          <w:sz w:val="24"/>
          <w:szCs w:val="24"/>
        </w:rPr>
        <w:t>o</w:t>
      </w:r>
      <w:r w:rsidRPr="0021636D">
        <w:rPr>
          <w:sz w:val="24"/>
          <w:szCs w:val="24"/>
        </w:rPr>
        <w:t xml:space="preserve"> by nebyla zodpovězena vůbec). </w:t>
      </w:r>
    </w:p>
    <w:p w:rsidR="0021636D" w:rsidRPr="0021636D" w:rsidRDefault="0021636D" w:rsidP="0021636D">
      <w:pPr>
        <w:spacing w:after="0"/>
        <w:jc w:val="both"/>
        <w:rPr>
          <w:sz w:val="24"/>
          <w:szCs w:val="24"/>
        </w:rPr>
      </w:pPr>
      <w:r w:rsidRPr="0021636D">
        <w:rPr>
          <w:sz w:val="24"/>
          <w:szCs w:val="24"/>
        </w:rPr>
        <w:t xml:space="preserve">Ve Vašem vlastním zájmu </w:t>
      </w:r>
      <w:r w:rsidRPr="0021636D">
        <w:rPr>
          <w:sz w:val="24"/>
          <w:szCs w:val="24"/>
          <w:u w:val="single"/>
        </w:rPr>
        <w:t>nepoužívejte</w:t>
      </w:r>
      <w:r w:rsidRPr="0021636D">
        <w:rPr>
          <w:sz w:val="24"/>
          <w:szCs w:val="24"/>
        </w:rPr>
        <w:t xml:space="preserve"> při přípravě na zkoušku nekvalitně a chybně zpracované nebo </w:t>
      </w:r>
      <w:r w:rsidRPr="0021636D">
        <w:rPr>
          <w:b/>
          <w:sz w:val="24"/>
          <w:szCs w:val="24"/>
          <w:u w:val="single"/>
        </w:rPr>
        <w:t>zastaralé</w:t>
      </w:r>
      <w:r w:rsidRPr="0021636D">
        <w:rPr>
          <w:sz w:val="24"/>
          <w:szCs w:val="24"/>
        </w:rPr>
        <w:t xml:space="preserve"> materiály či výtahy od studentů z předcházejících ročníků. Tyto materiály se snaží ve velmi redukované podobě nastínit problematiku vybraných otázek (okruhů), což nemusí být vždy dostačující k úspěšnému složení zkoušky, navíc obsahují často i věcné chyby. </w:t>
      </w:r>
    </w:p>
    <w:p w:rsidR="0021636D" w:rsidRPr="0021636D" w:rsidRDefault="0021636D" w:rsidP="0021636D">
      <w:pPr>
        <w:spacing w:after="0"/>
        <w:jc w:val="both"/>
        <w:rPr>
          <w:b/>
          <w:sz w:val="24"/>
          <w:szCs w:val="24"/>
        </w:rPr>
      </w:pPr>
    </w:p>
    <w:p w:rsidR="0021636D" w:rsidRPr="0021636D" w:rsidRDefault="0021636D" w:rsidP="006C70A1">
      <w:pPr>
        <w:spacing w:after="240" w:line="300" w:lineRule="auto"/>
        <w:jc w:val="both"/>
        <w:rPr>
          <w:sz w:val="2"/>
          <w:szCs w:val="24"/>
        </w:rPr>
      </w:pPr>
    </w:p>
    <w:p w:rsidR="006A2DA9" w:rsidRPr="0021636D" w:rsidRDefault="0021636D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 w:rsidRPr="0021636D">
        <w:rPr>
          <w:sz w:val="24"/>
          <w:szCs w:val="24"/>
        </w:rPr>
        <w:t xml:space="preserve">Struktura daňové soustavy ČR, </w:t>
      </w:r>
      <w:r w:rsidR="00622F82">
        <w:rPr>
          <w:sz w:val="24"/>
          <w:szCs w:val="24"/>
        </w:rPr>
        <w:t xml:space="preserve">základní charakteristika a klasifikace daní daňové soustavy ČR, </w:t>
      </w:r>
      <w:r w:rsidRPr="0021636D">
        <w:rPr>
          <w:sz w:val="24"/>
          <w:szCs w:val="24"/>
        </w:rPr>
        <w:t>daňová soustava x daňový systém</w:t>
      </w:r>
      <w:r w:rsidR="00050498">
        <w:rPr>
          <w:sz w:val="24"/>
          <w:szCs w:val="24"/>
        </w:rPr>
        <w:t>, poplatník x plátce daně</w:t>
      </w:r>
      <w:r w:rsidR="00C356EF">
        <w:rPr>
          <w:sz w:val="24"/>
          <w:szCs w:val="24"/>
        </w:rPr>
        <w:t>.</w:t>
      </w:r>
      <w:r w:rsidRPr="0021636D">
        <w:rPr>
          <w:sz w:val="24"/>
          <w:szCs w:val="24"/>
        </w:rPr>
        <w:t xml:space="preserve"> </w:t>
      </w:r>
    </w:p>
    <w:p w:rsidR="0021636D" w:rsidRPr="0021636D" w:rsidRDefault="0021636D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 w:rsidRPr="0021636D">
        <w:rPr>
          <w:sz w:val="24"/>
          <w:szCs w:val="24"/>
        </w:rPr>
        <w:t>Daň, daňová kvóta, funkce a úloha daní</w:t>
      </w:r>
      <w:r w:rsidR="00050498">
        <w:rPr>
          <w:sz w:val="24"/>
          <w:szCs w:val="24"/>
        </w:rPr>
        <w:t>, definice daní, daň x poplatek, fiskální politika</w:t>
      </w:r>
      <w:r w:rsidR="00C356EF">
        <w:rPr>
          <w:sz w:val="24"/>
          <w:szCs w:val="24"/>
        </w:rPr>
        <w:t>.</w:t>
      </w:r>
      <w:r w:rsidRPr="0021636D">
        <w:rPr>
          <w:sz w:val="24"/>
          <w:szCs w:val="24"/>
        </w:rPr>
        <w:t xml:space="preserve"> </w:t>
      </w:r>
    </w:p>
    <w:p w:rsidR="0021636D" w:rsidRDefault="0021636D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 w:rsidRPr="0021636D">
        <w:rPr>
          <w:sz w:val="24"/>
          <w:szCs w:val="24"/>
        </w:rPr>
        <w:t>Třídění daní (</w:t>
      </w:r>
      <w:r w:rsidR="00622F82">
        <w:rPr>
          <w:sz w:val="24"/>
          <w:szCs w:val="24"/>
        </w:rPr>
        <w:t xml:space="preserve">např. </w:t>
      </w:r>
      <w:r w:rsidRPr="0021636D">
        <w:rPr>
          <w:sz w:val="24"/>
          <w:szCs w:val="24"/>
        </w:rPr>
        <w:t>základní, dle analýz dopadu, pro praktické účely, institucionáln</w:t>
      </w:r>
      <w:r w:rsidR="00FC6012">
        <w:rPr>
          <w:sz w:val="24"/>
          <w:szCs w:val="24"/>
        </w:rPr>
        <w:t>í</w:t>
      </w:r>
      <w:r w:rsidR="00622F82">
        <w:rPr>
          <w:sz w:val="24"/>
          <w:szCs w:val="24"/>
        </w:rPr>
        <w:t xml:space="preserve"> a další</w:t>
      </w:r>
      <w:r w:rsidR="000B3C76">
        <w:rPr>
          <w:sz w:val="24"/>
          <w:szCs w:val="24"/>
        </w:rPr>
        <w:t xml:space="preserve"> kritéria členění daní</w:t>
      </w:r>
      <w:r w:rsidR="00C356EF">
        <w:rPr>
          <w:sz w:val="24"/>
          <w:szCs w:val="24"/>
        </w:rPr>
        <w:t>).</w:t>
      </w:r>
    </w:p>
    <w:p w:rsidR="007367B1" w:rsidRPr="0021636D" w:rsidRDefault="00622F82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Daňová incidence - ú</w:t>
      </w:r>
      <w:r w:rsidR="007367B1">
        <w:rPr>
          <w:sz w:val="24"/>
          <w:szCs w:val="24"/>
        </w:rPr>
        <w:t>loha cenové elasticity při zdaňování, rozložení daňového břemene</w:t>
      </w:r>
      <w:r>
        <w:rPr>
          <w:sz w:val="24"/>
          <w:szCs w:val="24"/>
        </w:rPr>
        <w:t xml:space="preserve"> a další</w:t>
      </w:r>
      <w:r w:rsidR="00C356EF">
        <w:rPr>
          <w:sz w:val="24"/>
          <w:szCs w:val="24"/>
        </w:rPr>
        <w:t xml:space="preserve"> (včetně využití grafického aparátu).</w:t>
      </w:r>
      <w:r>
        <w:rPr>
          <w:sz w:val="24"/>
          <w:szCs w:val="24"/>
        </w:rPr>
        <w:t xml:space="preserve"> </w:t>
      </w:r>
      <w:r w:rsidR="007367B1">
        <w:rPr>
          <w:sz w:val="24"/>
          <w:szCs w:val="24"/>
        </w:rPr>
        <w:t xml:space="preserve"> </w:t>
      </w:r>
    </w:p>
    <w:p w:rsidR="0021636D" w:rsidRDefault="00622F82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Daňová incidence - n</w:t>
      </w:r>
      <w:r w:rsidR="007367B1">
        <w:rPr>
          <w:sz w:val="24"/>
          <w:szCs w:val="24"/>
        </w:rPr>
        <w:t>adměrné daňové břemeno</w:t>
      </w:r>
      <w:r w:rsidR="00050498">
        <w:rPr>
          <w:sz w:val="24"/>
          <w:szCs w:val="24"/>
        </w:rPr>
        <w:t>, případy dokonalé a nulov</w:t>
      </w:r>
      <w:r w:rsidR="00C356EF">
        <w:rPr>
          <w:sz w:val="24"/>
          <w:szCs w:val="24"/>
        </w:rPr>
        <w:t>é elasticity nabídky / poptávky</w:t>
      </w:r>
      <w:r w:rsidR="007367B1">
        <w:rPr>
          <w:sz w:val="24"/>
          <w:szCs w:val="24"/>
        </w:rPr>
        <w:t xml:space="preserve"> </w:t>
      </w:r>
      <w:r w:rsidR="00C356EF">
        <w:rPr>
          <w:sz w:val="24"/>
          <w:szCs w:val="24"/>
        </w:rPr>
        <w:t>(včetně využití grafického aparátu).</w:t>
      </w:r>
    </w:p>
    <w:p w:rsidR="007367B1" w:rsidRDefault="005010E3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Lorenzova křivka, </w:t>
      </w:r>
      <w:proofErr w:type="spellStart"/>
      <w:r>
        <w:rPr>
          <w:sz w:val="24"/>
          <w:szCs w:val="24"/>
        </w:rPr>
        <w:t>Giniho</w:t>
      </w:r>
      <w:proofErr w:type="spellEnd"/>
      <w:r>
        <w:rPr>
          <w:sz w:val="24"/>
          <w:szCs w:val="24"/>
        </w:rPr>
        <w:t xml:space="preserve"> koeficient</w:t>
      </w:r>
      <w:r w:rsidR="00C356EF">
        <w:rPr>
          <w:sz w:val="24"/>
          <w:szCs w:val="24"/>
        </w:rPr>
        <w:t>. P</w:t>
      </w:r>
      <w:r w:rsidR="001C463C">
        <w:rPr>
          <w:sz w:val="24"/>
          <w:szCs w:val="24"/>
        </w:rPr>
        <w:t>rogresivita daně, měření daňové progresivity</w:t>
      </w:r>
      <w:r w:rsidR="00050498">
        <w:rPr>
          <w:sz w:val="24"/>
          <w:szCs w:val="24"/>
        </w:rPr>
        <w:t xml:space="preserve"> (bodová, intervalová)</w:t>
      </w:r>
      <w:r w:rsidR="00C519B2">
        <w:rPr>
          <w:sz w:val="24"/>
          <w:szCs w:val="24"/>
        </w:rPr>
        <w:t xml:space="preserve">, </w:t>
      </w:r>
      <w:r w:rsidR="00C356EF">
        <w:rPr>
          <w:sz w:val="24"/>
          <w:szCs w:val="24"/>
        </w:rPr>
        <w:t>ukazatelé intervalové daňové progresivity. N</w:t>
      </w:r>
      <w:r w:rsidR="00C519B2">
        <w:rPr>
          <w:sz w:val="24"/>
          <w:szCs w:val="24"/>
        </w:rPr>
        <w:t xml:space="preserve">egativní důchodová daň </w:t>
      </w:r>
      <w:r w:rsidR="00050498">
        <w:rPr>
          <w:sz w:val="24"/>
          <w:szCs w:val="24"/>
        </w:rPr>
        <w:t>a její konstrukce</w:t>
      </w:r>
      <w:r w:rsidR="00C356EF">
        <w:rPr>
          <w:sz w:val="24"/>
          <w:szCs w:val="24"/>
        </w:rPr>
        <w:t>.</w:t>
      </w:r>
      <w:r w:rsidR="00050498">
        <w:rPr>
          <w:sz w:val="24"/>
          <w:szCs w:val="24"/>
        </w:rPr>
        <w:t xml:space="preserve"> </w:t>
      </w:r>
    </w:p>
    <w:p w:rsidR="005010E3" w:rsidRDefault="008D2920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z příjmů fyzických osob – zdanění příjmů ze zaměstnání </w:t>
      </w:r>
      <w:r w:rsidR="005F28A2">
        <w:rPr>
          <w:sz w:val="24"/>
          <w:szCs w:val="24"/>
        </w:rPr>
        <w:t>(pracovní smlouva)</w:t>
      </w:r>
      <w:r w:rsidR="00050498">
        <w:rPr>
          <w:sz w:val="24"/>
          <w:szCs w:val="24"/>
        </w:rPr>
        <w:t xml:space="preserve"> – předmět daně, osvobození, konstrukce základu daně, poplatník x plátce a další</w:t>
      </w:r>
      <w:r w:rsidR="00C356EF">
        <w:rPr>
          <w:sz w:val="24"/>
          <w:szCs w:val="24"/>
        </w:rPr>
        <w:t>.</w:t>
      </w:r>
      <w:r w:rsidR="00050498">
        <w:rPr>
          <w:sz w:val="24"/>
          <w:szCs w:val="24"/>
        </w:rPr>
        <w:t xml:space="preserve"> </w:t>
      </w:r>
    </w:p>
    <w:p w:rsidR="005F28A2" w:rsidRPr="005F28A2" w:rsidRDefault="005F28A2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fyzických osob – zdanění příjmů ze zaměstnání (dohody o pracích konaných mimo pracovní poměr)</w:t>
      </w:r>
      <w:r w:rsidR="00C356EF">
        <w:rPr>
          <w:sz w:val="24"/>
          <w:szCs w:val="24"/>
        </w:rPr>
        <w:t>.</w:t>
      </w:r>
    </w:p>
    <w:p w:rsidR="008D2920" w:rsidRDefault="008D2920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fyzických osob – zdanění příjmů z</w:t>
      </w:r>
      <w:r w:rsidR="00C356EF">
        <w:rPr>
          <w:sz w:val="24"/>
          <w:szCs w:val="24"/>
        </w:rPr>
        <w:t> </w:t>
      </w:r>
      <w:r>
        <w:rPr>
          <w:sz w:val="24"/>
          <w:szCs w:val="24"/>
        </w:rPr>
        <w:t>podnikání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12989" w:rsidRDefault="00A12989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fyzických osob – příjmy z nájmu, kapitálového majetku a ostatní příjmy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D2920" w:rsidRDefault="008D2920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Slevy na dani x nezdanitelné části základu daně x položky snižující základ daně (ve vztahu k dani z příjmů)</w:t>
      </w:r>
      <w:r w:rsidR="00F51C38">
        <w:rPr>
          <w:sz w:val="24"/>
          <w:szCs w:val="24"/>
        </w:rPr>
        <w:t>, daňové přiznání</w:t>
      </w:r>
      <w:r w:rsidR="00C356EF">
        <w:rPr>
          <w:sz w:val="24"/>
          <w:szCs w:val="24"/>
        </w:rPr>
        <w:t>.</w:t>
      </w:r>
      <w:r w:rsidR="00F51C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F28A2" w:rsidRDefault="00FF6A0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Sociální</w:t>
      </w:r>
      <w:r w:rsidR="001A2E4A">
        <w:rPr>
          <w:sz w:val="24"/>
          <w:szCs w:val="24"/>
        </w:rPr>
        <w:t xml:space="preserve"> zabezpečení a příspěvek na státní politiku zaměstnanosti</w:t>
      </w:r>
      <w:r>
        <w:rPr>
          <w:sz w:val="24"/>
          <w:szCs w:val="24"/>
        </w:rPr>
        <w:t xml:space="preserve"> (u OSVČ, zaměstnanců)</w:t>
      </w:r>
      <w:r w:rsidR="00600848">
        <w:rPr>
          <w:sz w:val="24"/>
          <w:szCs w:val="24"/>
        </w:rPr>
        <w:t xml:space="preserve"> – výpočet, vyměřovací základy</w:t>
      </w:r>
      <w:r w:rsidR="00622F82">
        <w:rPr>
          <w:sz w:val="24"/>
          <w:szCs w:val="24"/>
        </w:rPr>
        <w:t>, platba</w:t>
      </w:r>
      <w:r w:rsidR="00600848">
        <w:rPr>
          <w:sz w:val="24"/>
          <w:szCs w:val="24"/>
        </w:rPr>
        <w:t xml:space="preserve"> a další</w:t>
      </w:r>
      <w:r w:rsidR="00C356EF">
        <w:rPr>
          <w:sz w:val="24"/>
          <w:szCs w:val="24"/>
        </w:rPr>
        <w:t>.</w:t>
      </w:r>
    </w:p>
    <w:p w:rsidR="00FF6A01" w:rsidRDefault="00FF6A0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Zdravotní pojištění (u OSVČ, zaměstnanců) </w:t>
      </w:r>
      <w:r w:rsidR="00600848">
        <w:rPr>
          <w:sz w:val="24"/>
          <w:szCs w:val="24"/>
        </w:rPr>
        <w:t>– výpočet, vyměřovací základy</w:t>
      </w:r>
      <w:r w:rsidR="00622F82">
        <w:rPr>
          <w:sz w:val="24"/>
          <w:szCs w:val="24"/>
        </w:rPr>
        <w:t>, platba</w:t>
      </w:r>
      <w:r w:rsidR="00600848">
        <w:rPr>
          <w:sz w:val="24"/>
          <w:szCs w:val="24"/>
        </w:rPr>
        <w:t xml:space="preserve"> a další</w:t>
      </w:r>
      <w:r w:rsidR="00C356EF">
        <w:rPr>
          <w:sz w:val="24"/>
          <w:szCs w:val="24"/>
        </w:rPr>
        <w:t>.</w:t>
      </w:r>
    </w:p>
    <w:p w:rsidR="00FF6A01" w:rsidRDefault="0060084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z příjmů právnických osob </w:t>
      </w:r>
      <w:r w:rsidR="00F51C3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51C38">
        <w:rPr>
          <w:sz w:val="24"/>
          <w:szCs w:val="24"/>
        </w:rPr>
        <w:t>poplatník, předmět daně, způsob výpočtu</w:t>
      </w:r>
      <w:r w:rsidR="00C356EF">
        <w:rPr>
          <w:sz w:val="24"/>
          <w:szCs w:val="24"/>
        </w:rPr>
        <w:t>.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 právnických osob – možnosti optimalizace daňové povinnosti poplatníka, zálohy, daňové přiznání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F51C38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příjmů</w:t>
      </w:r>
      <w:r w:rsidR="00F51C38">
        <w:rPr>
          <w:sz w:val="24"/>
          <w:szCs w:val="24"/>
        </w:rPr>
        <w:t xml:space="preserve"> - </w:t>
      </w:r>
      <w:r w:rsidR="00DB1033">
        <w:rPr>
          <w:sz w:val="24"/>
          <w:szCs w:val="24"/>
        </w:rPr>
        <w:t>k</w:t>
      </w:r>
      <w:r w:rsidR="00F51C38">
        <w:rPr>
          <w:sz w:val="24"/>
          <w:szCs w:val="24"/>
        </w:rPr>
        <w:t>omparace (porovnání) výpočtu daňové povinnosti fyzické a právnické osoby</w:t>
      </w:r>
      <w:r w:rsidR="00C356EF">
        <w:rPr>
          <w:sz w:val="24"/>
          <w:szCs w:val="24"/>
        </w:rPr>
        <w:t>.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přidané hodnoty – princip fungování daně, plátce x neplátce DPH, zdaňovací období, místo plnění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přidané hodnoty – fungování DPH se zaměřením na plnění v</w:t>
      </w:r>
      <w:r w:rsidR="00622F82">
        <w:rPr>
          <w:sz w:val="24"/>
          <w:szCs w:val="24"/>
        </w:rPr>
        <w:t> </w:t>
      </w:r>
      <w:r>
        <w:rPr>
          <w:sz w:val="24"/>
          <w:szCs w:val="24"/>
        </w:rPr>
        <w:t>tuzemsku</w:t>
      </w:r>
      <w:r w:rsidR="00622F82">
        <w:rPr>
          <w:sz w:val="24"/>
          <w:szCs w:val="24"/>
        </w:rPr>
        <w:t xml:space="preserve"> (např. sazby, plátcovství DPH, registrace, daňové přiznání, nárok na odpočet, úprava odpočtu, vyrovnání odpočtu a další)</w:t>
      </w:r>
      <w:r w:rsidR="00C356EF">
        <w:rPr>
          <w:sz w:val="24"/>
          <w:szCs w:val="24"/>
        </w:rPr>
        <w:t>.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přidané hodnoty – fungování DPH se zaměřením na plnění mimo území tuzemska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Spotřební daně – komodity podléhající spotřební dani, výpočet daně, daňové přiznání</w:t>
      </w:r>
      <w:r w:rsidR="00622F82">
        <w:rPr>
          <w:sz w:val="24"/>
          <w:szCs w:val="24"/>
        </w:rPr>
        <w:t>, podmíněné osvobození od daně a další</w:t>
      </w:r>
      <w:r w:rsidR="00C356EF">
        <w:rPr>
          <w:sz w:val="24"/>
          <w:szCs w:val="24"/>
        </w:rPr>
        <w:t>.</w:t>
      </w:r>
      <w:r w:rsidR="00622F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F51C38" w:rsidRDefault="00F51C38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Energetické (ekologické) daně – komodity podléhající energetickým daním, výpočet daně, daňové přiznání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51C38" w:rsidRDefault="00DB1033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silniční </w:t>
      </w:r>
      <w:r w:rsidR="001C463C">
        <w:rPr>
          <w:sz w:val="24"/>
          <w:szCs w:val="24"/>
        </w:rPr>
        <w:t xml:space="preserve">se zaměřením na osobní automobily </w:t>
      </w:r>
      <w:r w:rsidR="006C70A1">
        <w:rPr>
          <w:sz w:val="24"/>
          <w:szCs w:val="24"/>
        </w:rPr>
        <w:t>(např</w:t>
      </w:r>
      <w:r w:rsidR="001C463C">
        <w:rPr>
          <w:sz w:val="24"/>
          <w:szCs w:val="24"/>
        </w:rPr>
        <w:t>.</w:t>
      </w:r>
      <w:r w:rsidR="006C70A1">
        <w:rPr>
          <w:sz w:val="24"/>
          <w:szCs w:val="24"/>
        </w:rPr>
        <w:t xml:space="preserve"> poplatní</w:t>
      </w:r>
      <w:r w:rsidR="005B2700">
        <w:rPr>
          <w:sz w:val="24"/>
          <w:szCs w:val="24"/>
        </w:rPr>
        <w:t>k, osvobození, daňové přiznání</w:t>
      </w:r>
      <w:r w:rsidR="00050498">
        <w:rPr>
          <w:sz w:val="24"/>
          <w:szCs w:val="24"/>
        </w:rPr>
        <w:t>, zálohy</w:t>
      </w:r>
      <w:r w:rsidR="005B2700">
        <w:rPr>
          <w:sz w:val="24"/>
          <w:szCs w:val="24"/>
        </w:rPr>
        <w:t xml:space="preserve"> a další</w:t>
      </w:r>
      <w:r w:rsidR="006C70A1">
        <w:rPr>
          <w:sz w:val="24"/>
          <w:szCs w:val="24"/>
        </w:rPr>
        <w:t>)</w:t>
      </w:r>
      <w:r w:rsidR="00C356EF">
        <w:rPr>
          <w:sz w:val="24"/>
          <w:szCs w:val="24"/>
        </w:rPr>
        <w:t>.</w:t>
      </w:r>
      <w:r w:rsidR="006C70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C463C" w:rsidRPr="001C463C" w:rsidRDefault="001C463C" w:rsidP="001C463C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silniční se zaměřením na nákladní automobily (např. poplatník, osvobození, daňové přiznání, slevy na dani a další)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6C70A1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nemovitých věcí se zaměřením na daň z pozemků (např. poplatník, osvobození, daňové přiznání</w:t>
      </w:r>
      <w:r w:rsidR="00050498">
        <w:rPr>
          <w:sz w:val="24"/>
          <w:szCs w:val="24"/>
        </w:rPr>
        <w:t>, použití koeficientů</w:t>
      </w:r>
      <w:r>
        <w:rPr>
          <w:sz w:val="24"/>
          <w:szCs w:val="24"/>
        </w:rPr>
        <w:t xml:space="preserve"> a další)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C70A1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 z nemovitých věcí se zaměřením na daň ze staveb (např. poplatník, osvobození, daňové přiznání</w:t>
      </w:r>
      <w:r w:rsidR="00050498">
        <w:rPr>
          <w:sz w:val="24"/>
          <w:szCs w:val="24"/>
        </w:rPr>
        <w:t>, použití koeficientů</w:t>
      </w:r>
      <w:r>
        <w:rPr>
          <w:sz w:val="24"/>
          <w:szCs w:val="24"/>
        </w:rPr>
        <w:t xml:space="preserve"> a další)</w:t>
      </w:r>
      <w:r w:rsidR="00C3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356EF" w:rsidRDefault="00C356EF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Daň z hazardních her. </w:t>
      </w:r>
    </w:p>
    <w:p w:rsidR="005B2700" w:rsidRDefault="005B2700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Daňový řád (zásady daňového řízení, místní šetření, placení daní, daňová kontrola opravné prostředky a další)</w:t>
      </w:r>
      <w:r w:rsidR="00C356EF">
        <w:rPr>
          <w:sz w:val="24"/>
          <w:szCs w:val="24"/>
        </w:rPr>
        <w:t>.</w:t>
      </w:r>
    </w:p>
    <w:p w:rsidR="006C70A1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Základy harmonizace daní v EU se zaměřením na přímé daně</w:t>
      </w:r>
      <w:r w:rsidR="00622F82">
        <w:rPr>
          <w:sz w:val="24"/>
          <w:szCs w:val="24"/>
        </w:rPr>
        <w:t xml:space="preserve"> včetně judikátů Evropského soudního dvoru</w:t>
      </w:r>
      <w:r w:rsidR="00C356EF">
        <w:rPr>
          <w:sz w:val="24"/>
          <w:szCs w:val="24"/>
        </w:rPr>
        <w:t>.</w:t>
      </w:r>
      <w:r w:rsidR="00622F82">
        <w:rPr>
          <w:sz w:val="24"/>
          <w:szCs w:val="24"/>
        </w:rPr>
        <w:t xml:space="preserve"> </w:t>
      </w:r>
    </w:p>
    <w:p w:rsidR="006C70A1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Základy harmonizace daní v</w:t>
      </w:r>
      <w:r w:rsidR="00622F82">
        <w:rPr>
          <w:sz w:val="24"/>
          <w:szCs w:val="24"/>
        </w:rPr>
        <w:t> </w:t>
      </w:r>
      <w:r>
        <w:rPr>
          <w:sz w:val="24"/>
          <w:szCs w:val="24"/>
        </w:rPr>
        <w:t xml:space="preserve">EU se zaměřením na nepřímé daně </w:t>
      </w:r>
      <w:r w:rsidR="00622F82">
        <w:rPr>
          <w:sz w:val="24"/>
          <w:szCs w:val="24"/>
        </w:rPr>
        <w:t>včetně jud</w:t>
      </w:r>
      <w:r w:rsidR="00C356EF">
        <w:rPr>
          <w:sz w:val="24"/>
          <w:szCs w:val="24"/>
        </w:rPr>
        <w:t>ikátů Evropského soudního dvoru.</w:t>
      </w:r>
    </w:p>
    <w:p w:rsidR="006C70A1" w:rsidRPr="0021636D" w:rsidRDefault="006C70A1" w:rsidP="006C70A1">
      <w:pPr>
        <w:pStyle w:val="Odstavecseseznamem"/>
        <w:numPr>
          <w:ilvl w:val="0"/>
          <w:numId w:val="1"/>
        </w:numPr>
        <w:spacing w:after="240" w:line="300" w:lineRule="auto"/>
        <w:rPr>
          <w:sz w:val="24"/>
          <w:szCs w:val="24"/>
        </w:rPr>
      </w:pPr>
      <w:r>
        <w:rPr>
          <w:sz w:val="24"/>
          <w:szCs w:val="24"/>
        </w:rPr>
        <w:t>Mezinárodní dvojí zdanění</w:t>
      </w:r>
      <w:r w:rsidR="00050498">
        <w:rPr>
          <w:sz w:val="24"/>
          <w:szCs w:val="24"/>
        </w:rPr>
        <w:t xml:space="preserve"> (ekonomické x právní)</w:t>
      </w:r>
      <w:r>
        <w:rPr>
          <w:sz w:val="24"/>
          <w:szCs w:val="24"/>
        </w:rPr>
        <w:t xml:space="preserve">, metody zabraňující dvojímu zdanění </w:t>
      </w:r>
      <w:r w:rsidR="00050498">
        <w:rPr>
          <w:sz w:val="24"/>
          <w:szCs w:val="24"/>
        </w:rPr>
        <w:t>a jejich základní charakteristika</w:t>
      </w:r>
      <w:r w:rsidR="00C356EF">
        <w:rPr>
          <w:sz w:val="24"/>
          <w:szCs w:val="24"/>
        </w:rPr>
        <w:t>.</w:t>
      </w:r>
      <w:bookmarkStart w:id="0" w:name="_GoBack"/>
      <w:bookmarkEnd w:id="0"/>
      <w:r w:rsidR="00050498">
        <w:rPr>
          <w:sz w:val="24"/>
          <w:szCs w:val="24"/>
        </w:rPr>
        <w:t xml:space="preserve"> </w:t>
      </w:r>
    </w:p>
    <w:sectPr w:rsidR="006C70A1" w:rsidRPr="0021636D" w:rsidSect="00E061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6D" w:rsidRDefault="0021636D" w:rsidP="0021636D">
      <w:pPr>
        <w:spacing w:after="0" w:line="240" w:lineRule="auto"/>
      </w:pPr>
      <w:r>
        <w:separator/>
      </w:r>
    </w:p>
  </w:endnote>
  <w:endnote w:type="continuationSeparator" w:id="0">
    <w:p w:rsidR="0021636D" w:rsidRDefault="0021636D" w:rsidP="0021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99378"/>
      <w:docPartObj>
        <w:docPartGallery w:val="Page Numbers (Bottom of Page)"/>
        <w:docPartUnique/>
      </w:docPartObj>
    </w:sdtPr>
    <w:sdtEndPr/>
    <w:sdtContent>
      <w:p w:rsidR="0021636D" w:rsidRDefault="00E06126">
        <w:pPr>
          <w:pStyle w:val="Zpat"/>
          <w:jc w:val="center"/>
        </w:pPr>
        <w:r>
          <w:fldChar w:fldCharType="begin"/>
        </w:r>
        <w:r w:rsidR="0021636D">
          <w:instrText>PAGE   \* MERGEFORMAT</w:instrText>
        </w:r>
        <w:r>
          <w:fldChar w:fldCharType="separate"/>
        </w:r>
        <w:r w:rsidR="00C356EF">
          <w:rPr>
            <w:noProof/>
          </w:rPr>
          <w:t>2</w:t>
        </w:r>
        <w:r>
          <w:fldChar w:fldCharType="end"/>
        </w:r>
      </w:p>
    </w:sdtContent>
  </w:sdt>
  <w:p w:rsidR="0021636D" w:rsidRDefault="002163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6D" w:rsidRDefault="0021636D" w:rsidP="0021636D">
      <w:pPr>
        <w:spacing w:after="0" w:line="240" w:lineRule="auto"/>
      </w:pPr>
      <w:r>
        <w:separator/>
      </w:r>
    </w:p>
  </w:footnote>
  <w:footnote w:type="continuationSeparator" w:id="0">
    <w:p w:rsidR="0021636D" w:rsidRDefault="0021636D" w:rsidP="00216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71C"/>
    <w:multiLevelType w:val="hybridMultilevel"/>
    <w:tmpl w:val="5B96DE8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36D"/>
    <w:rsid w:val="00050498"/>
    <w:rsid w:val="000B3C76"/>
    <w:rsid w:val="001A2E4A"/>
    <w:rsid w:val="001C463C"/>
    <w:rsid w:val="00214D83"/>
    <w:rsid w:val="0021636D"/>
    <w:rsid w:val="005010E3"/>
    <w:rsid w:val="005B2700"/>
    <w:rsid w:val="005F28A2"/>
    <w:rsid w:val="00600848"/>
    <w:rsid w:val="00622F82"/>
    <w:rsid w:val="006A2DA9"/>
    <w:rsid w:val="006C70A1"/>
    <w:rsid w:val="00727536"/>
    <w:rsid w:val="007367B1"/>
    <w:rsid w:val="008D2920"/>
    <w:rsid w:val="00A12989"/>
    <w:rsid w:val="00C356EF"/>
    <w:rsid w:val="00C519B2"/>
    <w:rsid w:val="00DB1033"/>
    <w:rsid w:val="00E06126"/>
    <w:rsid w:val="00F51C38"/>
    <w:rsid w:val="00FC6012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1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63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36D"/>
  </w:style>
  <w:style w:type="paragraph" w:styleId="Zpat">
    <w:name w:val="footer"/>
    <w:basedOn w:val="Normln"/>
    <w:link w:val="ZpatChar"/>
    <w:uiPriority w:val="99"/>
    <w:unhideWhenUsed/>
    <w:rsid w:val="0021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20</cp:revision>
  <dcterms:created xsi:type="dcterms:W3CDTF">2013-12-27T11:26:00Z</dcterms:created>
  <dcterms:modified xsi:type="dcterms:W3CDTF">2021-07-18T10:56:00Z</dcterms:modified>
</cp:coreProperties>
</file>