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152E" w14:textId="77777777" w:rsidR="00A77E94" w:rsidRPr="001F4783" w:rsidRDefault="00A265CA">
      <w:pPr>
        <w:rPr>
          <w:b/>
          <w:bCs/>
          <w:caps/>
          <w:sz w:val="24"/>
          <w:szCs w:val="28"/>
        </w:rPr>
      </w:pPr>
      <w:r w:rsidRPr="001F4783">
        <w:rPr>
          <w:b/>
          <w:sz w:val="24"/>
          <w:szCs w:val="28"/>
        </w:rPr>
        <w:t>GRAPH NO</w:t>
      </w:r>
      <w:r w:rsidRPr="001F4783">
        <w:rPr>
          <w:b/>
          <w:caps/>
          <w:sz w:val="24"/>
          <w:szCs w:val="28"/>
        </w:rPr>
        <w:t xml:space="preserve">.     </w:t>
      </w:r>
      <w:r w:rsidRPr="001F4783">
        <w:rPr>
          <w:b/>
          <w:bCs/>
          <w:caps/>
          <w:sz w:val="24"/>
          <w:szCs w:val="28"/>
        </w:rPr>
        <w:t>Share of SME</w:t>
      </w:r>
      <w:r w:rsidR="001F4783">
        <w:rPr>
          <w:b/>
          <w:bCs/>
          <w:caps/>
          <w:sz w:val="24"/>
          <w:szCs w:val="28"/>
          <w:lang w:val="en-US"/>
        </w:rPr>
        <w:t>`</w:t>
      </w:r>
      <w:r w:rsidRPr="001F4783">
        <w:rPr>
          <w:b/>
          <w:bCs/>
          <w:caps/>
          <w:sz w:val="24"/>
          <w:szCs w:val="28"/>
        </w:rPr>
        <w:t>s in the total value of public contracts awarded in EU Member States (%)</w:t>
      </w:r>
    </w:p>
    <w:p w14:paraId="6A9D7B92" w14:textId="77777777" w:rsidR="00A265CA" w:rsidRDefault="001F4783">
      <w:pPr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cs-CZ"/>
        </w:rPr>
        <w:drawing>
          <wp:inline distT="0" distB="0" distL="0" distR="0" wp14:anchorId="61ECE8A6" wp14:editId="58A61FC7">
            <wp:extent cx="7163435" cy="3629025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9A859A" w14:textId="77777777" w:rsidR="00B4166A" w:rsidRDefault="00B4166A">
      <w:pPr>
        <w:rPr>
          <w:b/>
          <w:caps/>
          <w:szCs w:val="28"/>
        </w:rPr>
      </w:pPr>
    </w:p>
    <w:p w14:paraId="61043E8F" w14:textId="77777777" w:rsidR="005E577C" w:rsidRDefault="005E577C">
      <w:pPr>
        <w:rPr>
          <w:b/>
          <w:caps/>
          <w:szCs w:val="28"/>
        </w:rPr>
      </w:pPr>
    </w:p>
    <w:p w14:paraId="7AE0D713" w14:textId="77777777" w:rsidR="005E577C" w:rsidRDefault="005E577C">
      <w:pPr>
        <w:rPr>
          <w:b/>
          <w:caps/>
          <w:szCs w:val="28"/>
        </w:rPr>
      </w:pPr>
    </w:p>
    <w:p w14:paraId="1EA80005" w14:textId="77777777" w:rsidR="005E577C" w:rsidRDefault="005E577C">
      <w:pPr>
        <w:rPr>
          <w:b/>
          <w:caps/>
          <w:szCs w:val="28"/>
        </w:rPr>
      </w:pPr>
    </w:p>
    <w:p w14:paraId="2E158D12" w14:textId="77777777" w:rsidR="005E577C" w:rsidRDefault="005E577C">
      <w:pPr>
        <w:rPr>
          <w:b/>
          <w:caps/>
          <w:szCs w:val="28"/>
        </w:rPr>
      </w:pPr>
    </w:p>
    <w:p w14:paraId="0BD1A96F" w14:textId="77777777" w:rsidR="005E577C" w:rsidRDefault="005E577C">
      <w:pPr>
        <w:rPr>
          <w:b/>
          <w:caps/>
          <w:szCs w:val="28"/>
        </w:rPr>
      </w:pPr>
    </w:p>
    <w:p w14:paraId="055DBC27" w14:textId="77777777" w:rsidR="005E577C" w:rsidRDefault="005E577C">
      <w:pPr>
        <w:rPr>
          <w:b/>
          <w:caps/>
          <w:szCs w:val="28"/>
        </w:rPr>
      </w:pPr>
    </w:p>
    <w:p w14:paraId="7807D9D0" w14:textId="77777777" w:rsidR="005E577C" w:rsidRDefault="005E577C">
      <w:pPr>
        <w:rPr>
          <w:b/>
          <w:caps/>
          <w:szCs w:val="28"/>
        </w:rPr>
      </w:pPr>
    </w:p>
    <w:p w14:paraId="603C02DC" w14:textId="77777777" w:rsidR="001F4783" w:rsidRPr="00B4166A" w:rsidRDefault="001F4783">
      <w:pPr>
        <w:rPr>
          <w:b/>
          <w:caps/>
          <w:szCs w:val="28"/>
        </w:rPr>
      </w:pPr>
      <w:r w:rsidRPr="00B4166A">
        <w:rPr>
          <w:b/>
          <w:caps/>
          <w:szCs w:val="28"/>
        </w:rPr>
        <w:t xml:space="preserve">TABLE: </w:t>
      </w:r>
      <w:r w:rsidRPr="00B4166A">
        <w:rPr>
          <w:b/>
          <w:bCs/>
          <w:caps/>
          <w:sz w:val="20"/>
          <w:szCs w:val="28"/>
        </w:rPr>
        <w:t>Share of SME</w:t>
      </w:r>
      <w:r w:rsidRPr="00B4166A">
        <w:rPr>
          <w:b/>
          <w:bCs/>
          <w:caps/>
          <w:sz w:val="20"/>
          <w:szCs w:val="28"/>
          <w:lang w:val="en-US"/>
        </w:rPr>
        <w:t>`</w:t>
      </w:r>
      <w:r w:rsidRPr="00B4166A">
        <w:rPr>
          <w:b/>
          <w:bCs/>
          <w:caps/>
          <w:sz w:val="20"/>
          <w:szCs w:val="28"/>
        </w:rPr>
        <w:t>s in the total value of public contracts awarded in EU Member States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5"/>
        <w:gridCol w:w="1769"/>
        <w:gridCol w:w="1770"/>
        <w:gridCol w:w="1770"/>
        <w:gridCol w:w="1770"/>
        <w:gridCol w:w="1767"/>
      </w:tblGrid>
      <w:tr w:rsidR="001F4783" w:rsidRPr="001F4783" w14:paraId="4728F218" w14:textId="77777777" w:rsidTr="00B4166A">
        <w:trPr>
          <w:trHeight w:val="290"/>
        </w:trPr>
        <w:tc>
          <w:tcPr>
            <w:tcW w:w="1076" w:type="pct"/>
          </w:tcPr>
          <w:p w14:paraId="7946AD53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785" w:type="pct"/>
          </w:tcPr>
          <w:p w14:paraId="27744F93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micro enterprises</w:t>
            </w:r>
          </w:p>
        </w:tc>
        <w:tc>
          <w:tcPr>
            <w:tcW w:w="785" w:type="pct"/>
          </w:tcPr>
          <w:p w14:paraId="341D8F26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small enterprises</w:t>
            </w:r>
          </w:p>
        </w:tc>
        <w:tc>
          <w:tcPr>
            <w:tcW w:w="785" w:type="pct"/>
          </w:tcPr>
          <w:p w14:paraId="6D0968FD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medium enterprises</w:t>
            </w:r>
          </w:p>
        </w:tc>
        <w:tc>
          <w:tcPr>
            <w:tcW w:w="785" w:type="pct"/>
          </w:tcPr>
          <w:p w14:paraId="1D0D96FE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sz w:val="28"/>
                <w:lang w:val="en-US"/>
              </w:rPr>
              <w:t>SMEs</w:t>
            </w:r>
          </w:p>
        </w:tc>
        <w:tc>
          <w:tcPr>
            <w:tcW w:w="784" w:type="pct"/>
          </w:tcPr>
          <w:p w14:paraId="2D664319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sz w:val="28"/>
                <w:lang w:val="en-US"/>
              </w:rPr>
              <w:t>large enterprises</w:t>
            </w:r>
          </w:p>
        </w:tc>
      </w:tr>
      <w:tr w:rsidR="001F4783" w:rsidRPr="001F4783" w14:paraId="151C468A" w14:textId="77777777" w:rsidTr="00B4166A">
        <w:trPr>
          <w:trHeight w:val="290"/>
        </w:trPr>
        <w:tc>
          <w:tcPr>
            <w:tcW w:w="1076" w:type="pct"/>
          </w:tcPr>
          <w:p w14:paraId="08DC5EA9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 xml:space="preserve">Bulgaria </w:t>
            </w:r>
          </w:p>
        </w:tc>
        <w:tc>
          <w:tcPr>
            <w:tcW w:w="785" w:type="pct"/>
          </w:tcPr>
          <w:p w14:paraId="09282801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785" w:type="pct"/>
          </w:tcPr>
          <w:p w14:paraId="64936116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785" w:type="pct"/>
          </w:tcPr>
          <w:p w14:paraId="05008813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785" w:type="pct"/>
          </w:tcPr>
          <w:p w14:paraId="0070F6C8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784" w:type="pct"/>
          </w:tcPr>
          <w:p w14:paraId="08B7FAC7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21</w:t>
            </w:r>
          </w:p>
        </w:tc>
      </w:tr>
      <w:tr w:rsidR="001F4783" w:rsidRPr="001F4783" w14:paraId="2AA64A2B" w14:textId="77777777" w:rsidTr="00B4166A">
        <w:trPr>
          <w:trHeight w:val="290"/>
        </w:trPr>
        <w:tc>
          <w:tcPr>
            <w:tcW w:w="1076" w:type="pct"/>
          </w:tcPr>
          <w:p w14:paraId="78CADB7B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Malta</w:t>
            </w:r>
          </w:p>
        </w:tc>
        <w:tc>
          <w:tcPr>
            <w:tcW w:w="785" w:type="pct"/>
          </w:tcPr>
          <w:p w14:paraId="195300D9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785" w:type="pct"/>
          </w:tcPr>
          <w:p w14:paraId="20544A25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785" w:type="pct"/>
          </w:tcPr>
          <w:p w14:paraId="5CAD2197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785" w:type="pct"/>
          </w:tcPr>
          <w:p w14:paraId="78EE87E0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784" w:type="pct"/>
          </w:tcPr>
          <w:p w14:paraId="71DF9D66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39</w:t>
            </w:r>
          </w:p>
        </w:tc>
      </w:tr>
      <w:tr w:rsidR="001F4783" w:rsidRPr="001F4783" w14:paraId="306F1748" w14:textId="77777777" w:rsidTr="00B4166A">
        <w:trPr>
          <w:trHeight w:val="290"/>
        </w:trPr>
        <w:tc>
          <w:tcPr>
            <w:tcW w:w="1076" w:type="pct"/>
          </w:tcPr>
          <w:p w14:paraId="48780DB1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Luxembourg</w:t>
            </w:r>
          </w:p>
        </w:tc>
        <w:tc>
          <w:tcPr>
            <w:tcW w:w="785" w:type="pct"/>
          </w:tcPr>
          <w:p w14:paraId="40B21060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785" w:type="pct"/>
          </w:tcPr>
          <w:p w14:paraId="0A2AFAE2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785" w:type="pct"/>
          </w:tcPr>
          <w:p w14:paraId="2DE778EF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785" w:type="pct"/>
          </w:tcPr>
          <w:p w14:paraId="24173195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784" w:type="pct"/>
          </w:tcPr>
          <w:p w14:paraId="28D5E2EB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47</w:t>
            </w:r>
          </w:p>
        </w:tc>
      </w:tr>
      <w:tr w:rsidR="001F4783" w:rsidRPr="001F4783" w14:paraId="641AB54A" w14:textId="77777777" w:rsidTr="00B4166A">
        <w:trPr>
          <w:trHeight w:val="290"/>
        </w:trPr>
        <w:tc>
          <w:tcPr>
            <w:tcW w:w="1076" w:type="pct"/>
          </w:tcPr>
          <w:p w14:paraId="30DCEAB1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Greece</w:t>
            </w:r>
          </w:p>
        </w:tc>
        <w:tc>
          <w:tcPr>
            <w:tcW w:w="785" w:type="pct"/>
          </w:tcPr>
          <w:p w14:paraId="2624515C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785" w:type="pct"/>
          </w:tcPr>
          <w:p w14:paraId="5A51EDB8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785" w:type="pct"/>
          </w:tcPr>
          <w:p w14:paraId="141987A2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785" w:type="pct"/>
          </w:tcPr>
          <w:p w14:paraId="327518E2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784" w:type="pct"/>
          </w:tcPr>
          <w:p w14:paraId="5148776F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48</w:t>
            </w:r>
          </w:p>
        </w:tc>
      </w:tr>
      <w:tr w:rsidR="001F4783" w:rsidRPr="001F4783" w14:paraId="491F46C6" w14:textId="77777777" w:rsidTr="00B4166A">
        <w:trPr>
          <w:trHeight w:val="290"/>
        </w:trPr>
        <w:tc>
          <w:tcPr>
            <w:tcW w:w="1076" w:type="pct"/>
          </w:tcPr>
          <w:p w14:paraId="6FA9BB29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Estonia</w:t>
            </w:r>
          </w:p>
        </w:tc>
        <w:tc>
          <w:tcPr>
            <w:tcW w:w="785" w:type="pct"/>
          </w:tcPr>
          <w:p w14:paraId="5D7E0795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785" w:type="pct"/>
          </w:tcPr>
          <w:p w14:paraId="46F5CA5A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785" w:type="pct"/>
          </w:tcPr>
          <w:p w14:paraId="5E60B5C3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785" w:type="pct"/>
          </w:tcPr>
          <w:p w14:paraId="3F29D63A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784" w:type="pct"/>
          </w:tcPr>
          <w:p w14:paraId="430C477C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52</w:t>
            </w:r>
          </w:p>
        </w:tc>
      </w:tr>
      <w:tr w:rsidR="001F4783" w:rsidRPr="001F4783" w14:paraId="376528CD" w14:textId="77777777" w:rsidTr="00B4166A">
        <w:trPr>
          <w:trHeight w:val="290"/>
        </w:trPr>
        <w:tc>
          <w:tcPr>
            <w:tcW w:w="1076" w:type="pct"/>
          </w:tcPr>
          <w:p w14:paraId="4FEAF4E4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Hungary</w:t>
            </w:r>
          </w:p>
        </w:tc>
        <w:tc>
          <w:tcPr>
            <w:tcW w:w="785" w:type="pct"/>
          </w:tcPr>
          <w:p w14:paraId="03C1BC4D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785" w:type="pct"/>
          </w:tcPr>
          <w:p w14:paraId="3A6197E9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785" w:type="pct"/>
          </w:tcPr>
          <w:p w14:paraId="4D0D997D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785" w:type="pct"/>
          </w:tcPr>
          <w:p w14:paraId="1DC63411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784" w:type="pct"/>
          </w:tcPr>
          <w:p w14:paraId="57C839FB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52</w:t>
            </w:r>
          </w:p>
        </w:tc>
      </w:tr>
      <w:tr w:rsidR="001F4783" w:rsidRPr="001F4783" w14:paraId="6CC3524C" w14:textId="77777777" w:rsidTr="00B4166A">
        <w:trPr>
          <w:trHeight w:val="290"/>
        </w:trPr>
        <w:tc>
          <w:tcPr>
            <w:tcW w:w="1076" w:type="pct"/>
          </w:tcPr>
          <w:p w14:paraId="3EDB196A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Romania</w:t>
            </w:r>
          </w:p>
        </w:tc>
        <w:tc>
          <w:tcPr>
            <w:tcW w:w="785" w:type="pct"/>
          </w:tcPr>
          <w:p w14:paraId="766AC249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785" w:type="pct"/>
          </w:tcPr>
          <w:p w14:paraId="78AC4EFF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785" w:type="pct"/>
          </w:tcPr>
          <w:p w14:paraId="055F7CCF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785" w:type="pct"/>
          </w:tcPr>
          <w:p w14:paraId="3B43C187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784" w:type="pct"/>
          </w:tcPr>
          <w:p w14:paraId="316437F4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69</w:t>
            </w:r>
          </w:p>
        </w:tc>
      </w:tr>
      <w:tr w:rsidR="001F4783" w:rsidRPr="001F4783" w14:paraId="03E80F00" w14:textId="77777777" w:rsidTr="00B4166A">
        <w:trPr>
          <w:trHeight w:val="290"/>
        </w:trPr>
        <w:tc>
          <w:tcPr>
            <w:tcW w:w="1076" w:type="pct"/>
          </w:tcPr>
          <w:p w14:paraId="1C391277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Poland</w:t>
            </w:r>
          </w:p>
        </w:tc>
        <w:tc>
          <w:tcPr>
            <w:tcW w:w="785" w:type="pct"/>
          </w:tcPr>
          <w:p w14:paraId="54862596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785" w:type="pct"/>
          </w:tcPr>
          <w:p w14:paraId="395CDAD6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785" w:type="pct"/>
          </w:tcPr>
          <w:p w14:paraId="3A441A6F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785" w:type="pct"/>
          </w:tcPr>
          <w:p w14:paraId="61B6F43B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784" w:type="pct"/>
          </w:tcPr>
          <w:p w14:paraId="42C46874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71</w:t>
            </w:r>
          </w:p>
        </w:tc>
      </w:tr>
      <w:tr w:rsidR="001F4783" w:rsidRPr="001F4783" w14:paraId="0FB62191" w14:textId="77777777" w:rsidTr="00B4166A">
        <w:trPr>
          <w:trHeight w:val="290"/>
        </w:trPr>
        <w:tc>
          <w:tcPr>
            <w:tcW w:w="1076" w:type="pct"/>
          </w:tcPr>
          <w:p w14:paraId="789412D7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The United Kingdom</w:t>
            </w:r>
          </w:p>
        </w:tc>
        <w:tc>
          <w:tcPr>
            <w:tcW w:w="785" w:type="pct"/>
          </w:tcPr>
          <w:p w14:paraId="63A3C9E0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785" w:type="pct"/>
          </w:tcPr>
          <w:p w14:paraId="1D847550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785" w:type="pct"/>
          </w:tcPr>
          <w:p w14:paraId="7D9536DB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785" w:type="pct"/>
          </w:tcPr>
          <w:p w14:paraId="6066639F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784" w:type="pct"/>
          </w:tcPr>
          <w:p w14:paraId="5308B289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76</w:t>
            </w:r>
          </w:p>
        </w:tc>
      </w:tr>
      <w:tr w:rsidR="001F4783" w:rsidRPr="001F4783" w14:paraId="07B17FF4" w14:textId="77777777" w:rsidTr="00B4166A">
        <w:trPr>
          <w:trHeight w:val="290"/>
        </w:trPr>
        <w:tc>
          <w:tcPr>
            <w:tcW w:w="1076" w:type="pct"/>
          </w:tcPr>
          <w:p w14:paraId="59326B73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Portugal</w:t>
            </w:r>
          </w:p>
        </w:tc>
        <w:tc>
          <w:tcPr>
            <w:tcW w:w="785" w:type="pct"/>
          </w:tcPr>
          <w:p w14:paraId="7E510852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785" w:type="pct"/>
          </w:tcPr>
          <w:p w14:paraId="05B92110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785" w:type="pct"/>
          </w:tcPr>
          <w:p w14:paraId="2A360C40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785" w:type="pct"/>
          </w:tcPr>
          <w:p w14:paraId="7680B7E2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784" w:type="pct"/>
          </w:tcPr>
          <w:p w14:paraId="431B41A0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78</w:t>
            </w:r>
          </w:p>
        </w:tc>
      </w:tr>
      <w:tr w:rsidR="001F4783" w:rsidRPr="001F4783" w14:paraId="6C19C349" w14:textId="77777777" w:rsidTr="00B4166A">
        <w:trPr>
          <w:trHeight w:val="290"/>
        </w:trPr>
        <w:tc>
          <w:tcPr>
            <w:tcW w:w="1076" w:type="pct"/>
          </w:tcPr>
          <w:p w14:paraId="3F866B8A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Spain</w:t>
            </w:r>
          </w:p>
        </w:tc>
        <w:tc>
          <w:tcPr>
            <w:tcW w:w="785" w:type="pct"/>
          </w:tcPr>
          <w:p w14:paraId="22D853F1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785" w:type="pct"/>
          </w:tcPr>
          <w:p w14:paraId="601910FA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785" w:type="pct"/>
          </w:tcPr>
          <w:p w14:paraId="3CAD2B26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785" w:type="pct"/>
          </w:tcPr>
          <w:p w14:paraId="5A5D32F6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784" w:type="pct"/>
          </w:tcPr>
          <w:p w14:paraId="4478DF42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79</w:t>
            </w:r>
          </w:p>
        </w:tc>
      </w:tr>
      <w:tr w:rsidR="001F4783" w:rsidRPr="001F4783" w14:paraId="01790AEC" w14:textId="77777777" w:rsidTr="00B4166A">
        <w:trPr>
          <w:trHeight w:val="290"/>
        </w:trPr>
        <w:tc>
          <w:tcPr>
            <w:tcW w:w="1076" w:type="pct"/>
          </w:tcPr>
          <w:p w14:paraId="3365BF55" w14:textId="77777777" w:rsidR="001F4783" w:rsidRPr="001F4783" w:rsidRDefault="001F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b/>
                <w:color w:val="000000"/>
                <w:lang w:val="en-US"/>
              </w:rPr>
              <w:t>The Czech Republic</w:t>
            </w:r>
          </w:p>
        </w:tc>
        <w:tc>
          <w:tcPr>
            <w:tcW w:w="785" w:type="pct"/>
          </w:tcPr>
          <w:p w14:paraId="6169E470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85" w:type="pct"/>
          </w:tcPr>
          <w:p w14:paraId="366D7E3F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785" w:type="pct"/>
          </w:tcPr>
          <w:p w14:paraId="2190FD65" w14:textId="77777777" w:rsidR="001F4783" w:rsidRPr="001F4783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F4783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785" w:type="pct"/>
          </w:tcPr>
          <w:p w14:paraId="5255E29C" w14:textId="77777777" w:rsidR="001F4783" w:rsidRPr="00202219" w:rsidRDefault="00202219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84" w:type="pct"/>
          </w:tcPr>
          <w:p w14:paraId="43E3491F" w14:textId="77777777" w:rsidR="001F4783" w:rsidRPr="00202219" w:rsidRDefault="001F4783" w:rsidP="001F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lang w:val="en-US"/>
              </w:rPr>
            </w:pPr>
            <w:r w:rsidRPr="00202219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83</w:t>
            </w:r>
          </w:p>
        </w:tc>
      </w:tr>
    </w:tbl>
    <w:p w14:paraId="1BA4BF5A" w14:textId="77777777" w:rsidR="00B4166A" w:rsidRDefault="00B4166A" w:rsidP="00B4166A">
      <w:pPr>
        <w:spacing w:line="360" w:lineRule="auto"/>
        <w:rPr>
          <w:b/>
          <w:caps/>
          <w:sz w:val="24"/>
          <w:szCs w:val="28"/>
        </w:rPr>
      </w:pPr>
    </w:p>
    <w:p w14:paraId="1A4D9B58" w14:textId="77777777" w:rsidR="001F4783" w:rsidRPr="00B4166A" w:rsidRDefault="00B4166A" w:rsidP="00B4166A">
      <w:pPr>
        <w:spacing w:line="360" w:lineRule="auto"/>
        <w:rPr>
          <w:b/>
          <w:caps/>
          <w:sz w:val="24"/>
          <w:szCs w:val="28"/>
        </w:rPr>
      </w:pPr>
      <w:r w:rsidRPr="00B4166A">
        <w:rPr>
          <w:b/>
          <w:caps/>
          <w:sz w:val="24"/>
          <w:szCs w:val="28"/>
        </w:rPr>
        <w:t>The Czech Republic holds absolutely the worst position in the whole of the European Union, with a 17% share of its small and medium-sized enterprises in public procurement contracts. Of this number, small enterprises make up 7% while medium-sized enterprises make up 10%.</w:t>
      </w:r>
    </w:p>
    <w:p w14:paraId="2E4D2E10" w14:textId="77777777" w:rsidR="001F4783" w:rsidRPr="00A265CA" w:rsidRDefault="001F4783">
      <w:pPr>
        <w:rPr>
          <w:b/>
          <w:caps/>
          <w:sz w:val="28"/>
          <w:szCs w:val="28"/>
        </w:rPr>
      </w:pPr>
    </w:p>
    <w:sectPr w:rsidR="001F4783" w:rsidRPr="00A265CA" w:rsidSect="00A265CA">
      <w:headerReference w:type="default" r:id="rId8"/>
      <w:footerReference w:type="default" r:id="rId9"/>
      <w:pgSz w:w="16838" w:h="11906" w:orient="landscape"/>
      <w:pgMar w:top="851" w:right="3289" w:bottom="851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5736" w14:textId="77777777" w:rsidR="00AC0BBF" w:rsidRDefault="00AC0BBF" w:rsidP="00F353AB">
      <w:pPr>
        <w:spacing w:after="0" w:line="240" w:lineRule="auto"/>
      </w:pPr>
      <w:r>
        <w:separator/>
      </w:r>
    </w:p>
  </w:endnote>
  <w:endnote w:type="continuationSeparator" w:id="0">
    <w:p w14:paraId="607F3F6E" w14:textId="77777777" w:rsidR="00AC0BBF" w:rsidRDefault="00AC0BBF" w:rsidP="00F3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24FA" w14:textId="77777777" w:rsidR="00F353AB" w:rsidRDefault="00F353AB" w:rsidP="00F353AB">
    <w:pPr>
      <w:pStyle w:val="Zpat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35D3" w14:textId="77777777" w:rsidR="00AC0BBF" w:rsidRDefault="00AC0BBF" w:rsidP="00F353AB">
      <w:pPr>
        <w:spacing w:after="0" w:line="240" w:lineRule="auto"/>
      </w:pPr>
      <w:r>
        <w:separator/>
      </w:r>
    </w:p>
  </w:footnote>
  <w:footnote w:type="continuationSeparator" w:id="0">
    <w:p w14:paraId="5A344AE7" w14:textId="77777777" w:rsidR="00AC0BBF" w:rsidRDefault="00AC0BBF" w:rsidP="00F3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F1D3" w14:textId="77777777" w:rsidR="00F353AB" w:rsidRDefault="00F353AB" w:rsidP="00F353AB">
    <w:pPr>
      <w:pStyle w:val="Zhlav"/>
      <w:ind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A"/>
    <w:rsid w:val="00065308"/>
    <w:rsid w:val="0007595F"/>
    <w:rsid w:val="00106FCD"/>
    <w:rsid w:val="00134ECC"/>
    <w:rsid w:val="001F4783"/>
    <w:rsid w:val="00202219"/>
    <w:rsid w:val="002629F4"/>
    <w:rsid w:val="002C17AD"/>
    <w:rsid w:val="00401813"/>
    <w:rsid w:val="0043132A"/>
    <w:rsid w:val="00433F8F"/>
    <w:rsid w:val="00442817"/>
    <w:rsid w:val="004824DE"/>
    <w:rsid w:val="004A23A1"/>
    <w:rsid w:val="005E577C"/>
    <w:rsid w:val="00715B25"/>
    <w:rsid w:val="007E261C"/>
    <w:rsid w:val="00802EBB"/>
    <w:rsid w:val="008C79E2"/>
    <w:rsid w:val="008E73B3"/>
    <w:rsid w:val="00A265CA"/>
    <w:rsid w:val="00A361B6"/>
    <w:rsid w:val="00A77E94"/>
    <w:rsid w:val="00AC0BBF"/>
    <w:rsid w:val="00AF4DB0"/>
    <w:rsid w:val="00B34A15"/>
    <w:rsid w:val="00B4166A"/>
    <w:rsid w:val="00D46B83"/>
    <w:rsid w:val="00F353AB"/>
    <w:rsid w:val="00F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22857"/>
  <w15:docId w15:val="{D344DCBB-1541-3140-BFD7-B4F8B1DD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3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53AB"/>
  </w:style>
  <w:style w:type="paragraph" w:styleId="Zpat">
    <w:name w:val="footer"/>
    <w:basedOn w:val="Normln"/>
    <w:link w:val="ZpatChar"/>
    <w:uiPriority w:val="99"/>
    <w:semiHidden/>
    <w:unhideWhenUsed/>
    <w:rsid w:val="00F3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53AB"/>
  </w:style>
  <w:style w:type="paragraph" w:styleId="Textbubliny">
    <w:name w:val="Balloon Text"/>
    <w:basedOn w:val="Normln"/>
    <w:link w:val="TextbublinyChar"/>
    <w:uiPriority w:val="99"/>
    <w:semiHidden/>
    <w:unhideWhenUsed/>
    <w:rsid w:val="00F3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4%202015\MBA\ekf-mba-sablona-word-navysku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Microsoft_Excelu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micro enterprises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Bulgaria </c:v>
                </c:pt>
                <c:pt idx="1">
                  <c:v>Malta</c:v>
                </c:pt>
                <c:pt idx="2">
                  <c:v>Luxembourg</c:v>
                </c:pt>
                <c:pt idx="3">
                  <c:v>Greece</c:v>
                </c:pt>
                <c:pt idx="4">
                  <c:v>Estonia</c:v>
                </c:pt>
                <c:pt idx="5">
                  <c:v>Hungary</c:v>
                </c:pt>
                <c:pt idx="6">
                  <c:v>Romania</c:v>
                </c:pt>
                <c:pt idx="7">
                  <c:v>Poland</c:v>
                </c:pt>
                <c:pt idx="8">
                  <c:v>The United Kingdom</c:v>
                </c:pt>
                <c:pt idx="9">
                  <c:v>Portugal</c:v>
                </c:pt>
                <c:pt idx="10">
                  <c:v>Spain</c:v>
                </c:pt>
                <c:pt idx="11">
                  <c:v>The Czech Republic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16</c:v>
                </c:pt>
                <c:pt idx="1">
                  <c:v>7</c:v>
                </c:pt>
                <c:pt idx="2">
                  <c:v>12</c:v>
                </c:pt>
                <c:pt idx="3">
                  <c:v>15</c:v>
                </c:pt>
                <c:pt idx="4">
                  <c:v>7</c:v>
                </c:pt>
                <c:pt idx="5">
                  <c:v>8</c:v>
                </c:pt>
                <c:pt idx="6">
                  <c:v>3</c:v>
                </c:pt>
                <c:pt idx="7">
                  <c:v>3</c:v>
                </c:pt>
                <c:pt idx="8">
                  <c:v>6</c:v>
                </c:pt>
                <c:pt idx="9">
                  <c:v>4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0-BA45-BA26-E4FB02E9C83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small enterprises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Bulgaria </c:v>
                </c:pt>
                <c:pt idx="1">
                  <c:v>Malta</c:v>
                </c:pt>
                <c:pt idx="2">
                  <c:v>Luxembourg</c:v>
                </c:pt>
                <c:pt idx="3">
                  <c:v>Greece</c:v>
                </c:pt>
                <c:pt idx="4">
                  <c:v>Estonia</c:v>
                </c:pt>
                <c:pt idx="5">
                  <c:v>Hungary</c:v>
                </c:pt>
                <c:pt idx="6">
                  <c:v>Romania</c:v>
                </c:pt>
                <c:pt idx="7">
                  <c:v>Poland</c:v>
                </c:pt>
                <c:pt idx="8">
                  <c:v>The United Kingdom</c:v>
                </c:pt>
                <c:pt idx="9">
                  <c:v>Portugal</c:v>
                </c:pt>
                <c:pt idx="10">
                  <c:v>Spain</c:v>
                </c:pt>
                <c:pt idx="11">
                  <c:v>The Czech Republic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33</c:v>
                </c:pt>
                <c:pt idx="1">
                  <c:v>25</c:v>
                </c:pt>
                <c:pt idx="2">
                  <c:v>13</c:v>
                </c:pt>
                <c:pt idx="3">
                  <c:v>4</c:v>
                </c:pt>
                <c:pt idx="4">
                  <c:v>16</c:v>
                </c:pt>
                <c:pt idx="5">
                  <c:v>21</c:v>
                </c:pt>
                <c:pt idx="6">
                  <c:v>13</c:v>
                </c:pt>
                <c:pt idx="7">
                  <c:v>10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F0-BA45-BA26-E4FB02E9C838}"/>
            </c:ext>
          </c:extLst>
        </c:ser>
        <c:ser>
          <c:idx val="2"/>
          <c:order val="2"/>
          <c:tx>
            <c:strRef>
              <c:f>List1!$D$1:$E$1</c:f>
              <c:strCache>
                <c:ptCount val="1"/>
                <c:pt idx="0">
                  <c:v>medium enterprises large enterprises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Bulgaria </c:v>
                </c:pt>
                <c:pt idx="1">
                  <c:v>Malta</c:v>
                </c:pt>
                <c:pt idx="2">
                  <c:v>Luxembourg</c:v>
                </c:pt>
                <c:pt idx="3">
                  <c:v>Greece</c:v>
                </c:pt>
                <c:pt idx="4">
                  <c:v>Estonia</c:v>
                </c:pt>
                <c:pt idx="5">
                  <c:v>Hungary</c:v>
                </c:pt>
                <c:pt idx="6">
                  <c:v>Romania</c:v>
                </c:pt>
                <c:pt idx="7">
                  <c:v>Poland</c:v>
                </c:pt>
                <c:pt idx="8">
                  <c:v>The United Kingdom</c:v>
                </c:pt>
                <c:pt idx="9">
                  <c:v>Portugal</c:v>
                </c:pt>
                <c:pt idx="10">
                  <c:v>Spain</c:v>
                </c:pt>
                <c:pt idx="11">
                  <c:v>The Czech Republic</c:v>
                </c:pt>
              </c:strCache>
            </c:strRef>
          </c:cat>
          <c:val>
            <c:numRef>
              <c:f>List1!$D$2:$D$13</c:f>
              <c:numCache>
                <c:formatCode>General</c:formatCode>
                <c:ptCount val="12"/>
                <c:pt idx="0">
                  <c:v>30</c:v>
                </c:pt>
                <c:pt idx="1">
                  <c:v>29</c:v>
                </c:pt>
                <c:pt idx="2">
                  <c:v>28</c:v>
                </c:pt>
                <c:pt idx="3">
                  <c:v>33</c:v>
                </c:pt>
                <c:pt idx="4">
                  <c:v>25</c:v>
                </c:pt>
                <c:pt idx="5">
                  <c:v>19</c:v>
                </c:pt>
                <c:pt idx="6">
                  <c:v>15</c:v>
                </c:pt>
                <c:pt idx="7">
                  <c:v>16</c:v>
                </c:pt>
                <c:pt idx="8">
                  <c:v>13</c:v>
                </c:pt>
                <c:pt idx="9">
                  <c:v>12</c:v>
                </c:pt>
                <c:pt idx="10">
                  <c:v>12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F0-BA45-BA26-E4FB02E9C838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large enterprises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Bulgaria </c:v>
                </c:pt>
                <c:pt idx="1">
                  <c:v>Malta</c:v>
                </c:pt>
                <c:pt idx="2">
                  <c:v>Luxembourg</c:v>
                </c:pt>
                <c:pt idx="3">
                  <c:v>Greece</c:v>
                </c:pt>
                <c:pt idx="4">
                  <c:v>Estonia</c:v>
                </c:pt>
                <c:pt idx="5">
                  <c:v>Hungary</c:v>
                </c:pt>
                <c:pt idx="6">
                  <c:v>Romania</c:v>
                </c:pt>
                <c:pt idx="7">
                  <c:v>Poland</c:v>
                </c:pt>
                <c:pt idx="8">
                  <c:v>The United Kingdom</c:v>
                </c:pt>
                <c:pt idx="9">
                  <c:v>Portugal</c:v>
                </c:pt>
                <c:pt idx="10">
                  <c:v>Spain</c:v>
                </c:pt>
                <c:pt idx="11">
                  <c:v>The Czech Republic</c:v>
                </c:pt>
              </c:strCache>
            </c:strRef>
          </c:cat>
          <c:val>
            <c:numRef>
              <c:f>List1!$E$2:$E$13</c:f>
              <c:numCache>
                <c:formatCode>General</c:formatCode>
                <c:ptCount val="12"/>
                <c:pt idx="0">
                  <c:v>21</c:v>
                </c:pt>
                <c:pt idx="1">
                  <c:v>39</c:v>
                </c:pt>
                <c:pt idx="2">
                  <c:v>47</c:v>
                </c:pt>
                <c:pt idx="3">
                  <c:v>48</c:v>
                </c:pt>
                <c:pt idx="4">
                  <c:v>52</c:v>
                </c:pt>
                <c:pt idx="5">
                  <c:v>52</c:v>
                </c:pt>
                <c:pt idx="6">
                  <c:v>69</c:v>
                </c:pt>
                <c:pt idx="7">
                  <c:v>71</c:v>
                </c:pt>
                <c:pt idx="8">
                  <c:v>76</c:v>
                </c:pt>
                <c:pt idx="9">
                  <c:v>78</c:v>
                </c:pt>
                <c:pt idx="10">
                  <c:v>79</c:v>
                </c:pt>
                <c:pt idx="1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F0-BA45-BA26-E4FB02E9C8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81976704"/>
        <c:axId val="82150528"/>
      </c:barChart>
      <c:catAx>
        <c:axId val="81976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2150528"/>
        <c:crosses val="autoZero"/>
        <c:auto val="1"/>
        <c:lblAlgn val="ctr"/>
        <c:lblOffset val="100"/>
        <c:noMultiLvlLbl val="0"/>
      </c:catAx>
      <c:valAx>
        <c:axId val="8215052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8197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BA">
  <a:themeElements>
    <a:clrScheme name="MBA">
      <a:dk1>
        <a:sysClr val="windowText" lastClr="000000"/>
      </a:dk1>
      <a:lt1>
        <a:sysClr val="window" lastClr="FFFFFF"/>
      </a:lt1>
      <a:dk2>
        <a:srgbClr val="0B2265"/>
      </a:dk2>
      <a:lt2>
        <a:srgbClr val="001B96"/>
      </a:lt2>
      <a:accent1>
        <a:srgbClr val="E31B19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MB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BBDE8-3576-4050-BD17-E853D48F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D:\2014 2015\MBA\ekf-mba-sablona-word-navysku3.dotx</Template>
  <TotalTime>1</TotalTime>
  <Pages>2</Pages>
  <Words>128</Words>
  <Characters>725</Characters>
  <Application>Microsoft Office Word</Application>
  <DocSecurity>0</DocSecurity>
  <Lines>9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 Communication, s.r.o.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Microsoft Office User</cp:lastModifiedBy>
  <cp:revision>2</cp:revision>
  <dcterms:created xsi:type="dcterms:W3CDTF">2021-10-26T19:55:00Z</dcterms:created>
  <dcterms:modified xsi:type="dcterms:W3CDTF">2021-10-26T19:55:00Z</dcterms:modified>
</cp:coreProperties>
</file>