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59A2" w14:textId="77777777" w:rsidR="007B7CE5" w:rsidRPr="007B7CE5" w:rsidRDefault="007B7CE5" w:rsidP="007B7CE5">
      <w:pPr>
        <w:pStyle w:val="Title"/>
      </w:pPr>
      <w:r w:rsidRPr="007B7CE5">
        <w:t>The Comprehensive Framework of Economic Integration: An Analysis of Customs Unions, Common Markets, and Single Market Paradigms</w:t>
      </w:r>
    </w:p>
    <w:p w14:paraId="426331D6" w14:textId="77777777" w:rsidR="007B7CE5" w:rsidRDefault="007B7CE5" w:rsidP="007B7CE5">
      <w:r w:rsidRPr="007B7CE5">
        <w:t xml:space="preserve">The contemporary global economy is defined by a sophisticated architecture of regional trade agreements that represent varying degrees of institutional and economic convergence. Economic integration refers to the systematic joining of commercial and financial activities among nations through the abolition of nation-based economic institutions and the reduction of barriers to trade. This phenomenon is not merely an exercise in lowering tariffs; it is a profound transformative process wherein nation-states progressively surrender elements of their sovereign autonomy in exchange for the promise of heightened economic efficiency, increased market scale, and enhanced geopolitical leverage. </w:t>
      </w:r>
    </w:p>
    <w:p w14:paraId="62C077C9" w14:textId="49F47617" w:rsidR="007B7CE5" w:rsidRPr="007B7CE5" w:rsidRDefault="007B7CE5" w:rsidP="007B7CE5">
      <w:r w:rsidRPr="007B7CE5">
        <w:t>The hierarchy of economic integration is typically classified into additive levels, each building upon the previous stage and requiring increasingly complex shared institutions and higher levels of political will.</w:t>
      </w:r>
    </w:p>
    <w:p w14:paraId="0CC0555B" w14:textId="77777777" w:rsidR="007B7CE5" w:rsidRPr="007B7CE5" w:rsidRDefault="007B7CE5" w:rsidP="007B7CE5">
      <w:r w:rsidRPr="007B7CE5">
        <w:t>At the foundation of this hierarchy resides the Preferential Trade Agreement (PTA), characterized by selective tariff reductions on specific goods, often serving as a diplomatic entry point for nations to test the feasibility of broader liberalization. As commitments deepen, nations advance to Free Trade Areas (FTAs), where internal tariffs and quotas are removed for nearly all goods while member states maintain independent external trade policies toward non-members. This independence necessitates the implementation of "rules of origin" to prevent trade deflection, wherein goods enter the bloc through the country with the lowest tariff. The transition to a Customs Union (CU) signifies a qualitative shift, as members adopt a Common External Tariff (CET), necessitating a unified trade stance and the surrendering of individual trade-negotiating powers.</w:t>
      </w:r>
    </w:p>
    <w:p w14:paraId="499736C9" w14:textId="77777777" w:rsidR="007B7CE5" w:rsidRPr="007B7CE5" w:rsidRDefault="007B7CE5" w:rsidP="007B7CE5">
      <w:r w:rsidRPr="007B7CE5">
        <w:t>Deeper integration manifests in the Common Market, which adds the free movement of factors of production—</w:t>
      </w:r>
      <w:proofErr w:type="spellStart"/>
      <w:r w:rsidRPr="007B7CE5">
        <w:t>labor</w:t>
      </w:r>
      <w:proofErr w:type="spellEnd"/>
      <w:r w:rsidRPr="007B7CE5">
        <w:t xml:space="preserve"> and capital—to the features of a customs union. The Single Market, often synonymous with the internal market, represents the pinnacle of this journey, seeking the total removal of technical, legal, and fiscal barriers to ensure that the movement of resources across borders is as seamless as movement within a single nation. Beyond this lies the Economic Union, involving the harmonization of monetary and fiscal policies, often culminating in a shared currency and a central bank.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7"/>
        <w:gridCol w:w="1827"/>
        <w:gridCol w:w="1530"/>
        <w:gridCol w:w="1717"/>
        <w:gridCol w:w="1975"/>
      </w:tblGrid>
      <w:tr w:rsidR="007B7CE5" w:rsidRPr="007B7CE5" w14:paraId="701722F3" w14:textId="77777777" w:rsidTr="007B7CE5">
        <w:trPr>
          <w:tblHeader/>
          <w:tblCellSpacing w:w="15" w:type="dxa"/>
        </w:trPr>
        <w:tc>
          <w:tcPr>
            <w:tcW w:w="1962" w:type="dxa"/>
            <w:tcBorders>
              <w:top w:val="single" w:sz="6" w:space="0" w:color="auto"/>
              <w:left w:val="single" w:sz="6" w:space="0" w:color="auto"/>
              <w:bottom w:val="single" w:sz="6" w:space="0" w:color="auto"/>
              <w:right w:val="single" w:sz="6" w:space="0" w:color="auto"/>
            </w:tcBorders>
            <w:vAlign w:val="center"/>
            <w:hideMark/>
          </w:tcPr>
          <w:p w14:paraId="491D95BC" w14:textId="77777777" w:rsidR="007B7CE5" w:rsidRPr="007B7CE5" w:rsidRDefault="007B7CE5" w:rsidP="007B7CE5">
            <w:r w:rsidRPr="007B7CE5">
              <w:rPr>
                <w:b/>
                <w:bCs/>
              </w:rPr>
              <w:t>Stage of Economic Integration</w:t>
            </w:r>
          </w:p>
        </w:tc>
        <w:tc>
          <w:tcPr>
            <w:tcW w:w="1797" w:type="dxa"/>
            <w:tcBorders>
              <w:top w:val="single" w:sz="6" w:space="0" w:color="auto"/>
              <w:left w:val="single" w:sz="6" w:space="0" w:color="auto"/>
              <w:bottom w:val="single" w:sz="6" w:space="0" w:color="auto"/>
              <w:right w:val="single" w:sz="6" w:space="0" w:color="auto"/>
            </w:tcBorders>
            <w:vAlign w:val="center"/>
            <w:hideMark/>
          </w:tcPr>
          <w:p w14:paraId="0F062989" w14:textId="77777777" w:rsidR="007B7CE5" w:rsidRPr="007B7CE5" w:rsidRDefault="007B7CE5" w:rsidP="007B7CE5">
            <w:pPr>
              <w:jc w:val="left"/>
            </w:pPr>
            <w:r w:rsidRPr="007B7CE5">
              <w:rPr>
                <w:b/>
                <w:bCs/>
              </w:rPr>
              <w:t>Internal Tariff Elimination</w:t>
            </w:r>
          </w:p>
        </w:tc>
        <w:tc>
          <w:tcPr>
            <w:tcW w:w="1500" w:type="dxa"/>
            <w:tcBorders>
              <w:top w:val="single" w:sz="6" w:space="0" w:color="auto"/>
              <w:left w:val="single" w:sz="6" w:space="0" w:color="auto"/>
              <w:bottom w:val="single" w:sz="6" w:space="0" w:color="auto"/>
              <w:right w:val="single" w:sz="6" w:space="0" w:color="auto"/>
            </w:tcBorders>
            <w:vAlign w:val="center"/>
            <w:hideMark/>
          </w:tcPr>
          <w:p w14:paraId="7A74373F" w14:textId="77777777" w:rsidR="007B7CE5" w:rsidRPr="007B7CE5" w:rsidRDefault="007B7CE5" w:rsidP="007B7CE5">
            <w:r w:rsidRPr="007B7CE5">
              <w:rPr>
                <w:b/>
                <w:bCs/>
              </w:rPr>
              <w:t>Common External Tariff</w:t>
            </w:r>
          </w:p>
        </w:tc>
        <w:tc>
          <w:tcPr>
            <w:tcW w:w="1687" w:type="dxa"/>
            <w:tcBorders>
              <w:top w:val="single" w:sz="6" w:space="0" w:color="auto"/>
              <w:left w:val="single" w:sz="6" w:space="0" w:color="auto"/>
              <w:bottom w:val="single" w:sz="6" w:space="0" w:color="auto"/>
              <w:right w:val="single" w:sz="6" w:space="0" w:color="auto"/>
            </w:tcBorders>
            <w:vAlign w:val="center"/>
            <w:hideMark/>
          </w:tcPr>
          <w:p w14:paraId="57785ADB" w14:textId="77777777" w:rsidR="007B7CE5" w:rsidRPr="007B7CE5" w:rsidRDefault="007B7CE5" w:rsidP="007B7CE5">
            <w:r w:rsidRPr="007B7CE5">
              <w:rPr>
                <w:b/>
                <w:bCs/>
              </w:rPr>
              <w:t>Factor Mobility (Labor/Capital)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25DD9" w14:textId="77777777" w:rsidR="007B7CE5" w:rsidRPr="007B7CE5" w:rsidRDefault="007B7CE5" w:rsidP="007B7CE5">
            <w:r w:rsidRPr="007B7CE5">
              <w:rPr>
                <w:b/>
                <w:bCs/>
              </w:rPr>
              <w:t>Policy Harmonization</w:t>
            </w:r>
          </w:p>
        </w:tc>
      </w:tr>
      <w:tr w:rsidR="007B7CE5" w:rsidRPr="007B7CE5" w14:paraId="573335AE" w14:textId="77777777" w:rsidTr="007B7CE5">
        <w:trPr>
          <w:tblCellSpacing w:w="15" w:type="dxa"/>
        </w:trPr>
        <w:tc>
          <w:tcPr>
            <w:tcW w:w="1962" w:type="dxa"/>
            <w:tcBorders>
              <w:top w:val="single" w:sz="6" w:space="0" w:color="auto"/>
              <w:left w:val="single" w:sz="6" w:space="0" w:color="auto"/>
              <w:bottom w:val="single" w:sz="6" w:space="0" w:color="auto"/>
              <w:right w:val="single" w:sz="6" w:space="0" w:color="auto"/>
            </w:tcBorders>
            <w:vAlign w:val="center"/>
            <w:hideMark/>
          </w:tcPr>
          <w:p w14:paraId="42A4AB4E" w14:textId="77777777" w:rsidR="007B7CE5" w:rsidRPr="007B7CE5" w:rsidRDefault="007B7CE5" w:rsidP="007B7CE5">
            <w:r w:rsidRPr="007B7CE5">
              <w:rPr>
                <w:b/>
                <w:bCs/>
              </w:rPr>
              <w:t>Preferential Trade Agreement</w:t>
            </w:r>
          </w:p>
        </w:tc>
        <w:tc>
          <w:tcPr>
            <w:tcW w:w="1797" w:type="dxa"/>
            <w:tcBorders>
              <w:top w:val="single" w:sz="6" w:space="0" w:color="auto"/>
              <w:left w:val="single" w:sz="6" w:space="0" w:color="auto"/>
              <w:bottom w:val="single" w:sz="6" w:space="0" w:color="auto"/>
              <w:right w:val="single" w:sz="6" w:space="0" w:color="auto"/>
            </w:tcBorders>
            <w:vAlign w:val="center"/>
            <w:hideMark/>
          </w:tcPr>
          <w:p w14:paraId="424C9FE2" w14:textId="77777777" w:rsidR="007B7CE5" w:rsidRPr="007B7CE5" w:rsidRDefault="007B7CE5" w:rsidP="007B7CE5">
            <w:r w:rsidRPr="007B7CE5">
              <w:t>Partial/Selective</w:t>
            </w:r>
          </w:p>
        </w:tc>
        <w:tc>
          <w:tcPr>
            <w:tcW w:w="1500" w:type="dxa"/>
            <w:tcBorders>
              <w:top w:val="single" w:sz="6" w:space="0" w:color="auto"/>
              <w:left w:val="single" w:sz="6" w:space="0" w:color="auto"/>
              <w:bottom w:val="single" w:sz="6" w:space="0" w:color="auto"/>
              <w:right w:val="single" w:sz="6" w:space="0" w:color="auto"/>
            </w:tcBorders>
            <w:vAlign w:val="center"/>
            <w:hideMark/>
          </w:tcPr>
          <w:p w14:paraId="109E850F" w14:textId="77777777" w:rsidR="007B7CE5" w:rsidRPr="007B7CE5" w:rsidRDefault="007B7CE5" w:rsidP="007B7CE5">
            <w:r w:rsidRPr="007B7CE5">
              <w:t>No</w:t>
            </w:r>
          </w:p>
        </w:tc>
        <w:tc>
          <w:tcPr>
            <w:tcW w:w="1687" w:type="dxa"/>
            <w:tcBorders>
              <w:top w:val="single" w:sz="6" w:space="0" w:color="auto"/>
              <w:left w:val="single" w:sz="6" w:space="0" w:color="auto"/>
              <w:bottom w:val="single" w:sz="6" w:space="0" w:color="auto"/>
              <w:right w:val="single" w:sz="6" w:space="0" w:color="auto"/>
            </w:tcBorders>
            <w:vAlign w:val="center"/>
            <w:hideMark/>
          </w:tcPr>
          <w:p w14:paraId="2C634FC4" w14:textId="77777777" w:rsidR="007B7CE5" w:rsidRPr="007B7CE5" w:rsidRDefault="007B7CE5" w:rsidP="007B7CE5">
            <w:r w:rsidRPr="007B7CE5">
              <w:t>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7D855" w14:textId="77777777" w:rsidR="007B7CE5" w:rsidRPr="007B7CE5" w:rsidRDefault="007B7CE5" w:rsidP="007B7CE5">
            <w:r w:rsidRPr="007B7CE5">
              <w:t>Minimal</w:t>
            </w:r>
          </w:p>
        </w:tc>
      </w:tr>
      <w:tr w:rsidR="007B7CE5" w:rsidRPr="007B7CE5" w14:paraId="3BE98B70" w14:textId="77777777" w:rsidTr="007B7CE5">
        <w:trPr>
          <w:tblCellSpacing w:w="15" w:type="dxa"/>
        </w:trPr>
        <w:tc>
          <w:tcPr>
            <w:tcW w:w="1962" w:type="dxa"/>
            <w:tcBorders>
              <w:top w:val="single" w:sz="6" w:space="0" w:color="auto"/>
              <w:left w:val="single" w:sz="6" w:space="0" w:color="auto"/>
              <w:bottom w:val="single" w:sz="6" w:space="0" w:color="auto"/>
              <w:right w:val="single" w:sz="6" w:space="0" w:color="auto"/>
            </w:tcBorders>
            <w:vAlign w:val="center"/>
            <w:hideMark/>
          </w:tcPr>
          <w:p w14:paraId="629F3757" w14:textId="77777777" w:rsidR="007B7CE5" w:rsidRPr="007B7CE5" w:rsidRDefault="007B7CE5" w:rsidP="007B7CE5">
            <w:r w:rsidRPr="007B7CE5">
              <w:rPr>
                <w:b/>
                <w:bCs/>
              </w:rPr>
              <w:t>Free Trade Area</w:t>
            </w:r>
          </w:p>
        </w:tc>
        <w:tc>
          <w:tcPr>
            <w:tcW w:w="1797" w:type="dxa"/>
            <w:tcBorders>
              <w:top w:val="single" w:sz="6" w:space="0" w:color="auto"/>
              <w:left w:val="single" w:sz="6" w:space="0" w:color="auto"/>
              <w:bottom w:val="single" w:sz="6" w:space="0" w:color="auto"/>
              <w:right w:val="single" w:sz="6" w:space="0" w:color="auto"/>
            </w:tcBorders>
            <w:vAlign w:val="center"/>
            <w:hideMark/>
          </w:tcPr>
          <w:p w14:paraId="111AEA5C" w14:textId="77777777" w:rsidR="007B7CE5" w:rsidRPr="007B7CE5" w:rsidRDefault="007B7CE5" w:rsidP="007B7CE5">
            <w:r w:rsidRPr="007B7CE5">
              <w:t>Yes</w:t>
            </w:r>
          </w:p>
        </w:tc>
        <w:tc>
          <w:tcPr>
            <w:tcW w:w="1500" w:type="dxa"/>
            <w:tcBorders>
              <w:top w:val="single" w:sz="6" w:space="0" w:color="auto"/>
              <w:left w:val="single" w:sz="6" w:space="0" w:color="auto"/>
              <w:bottom w:val="single" w:sz="6" w:space="0" w:color="auto"/>
              <w:right w:val="single" w:sz="6" w:space="0" w:color="auto"/>
            </w:tcBorders>
            <w:vAlign w:val="center"/>
            <w:hideMark/>
          </w:tcPr>
          <w:p w14:paraId="509D9886" w14:textId="77777777" w:rsidR="007B7CE5" w:rsidRPr="007B7CE5" w:rsidRDefault="007B7CE5" w:rsidP="007B7CE5">
            <w:r w:rsidRPr="007B7CE5">
              <w:t>No</w:t>
            </w:r>
          </w:p>
        </w:tc>
        <w:tc>
          <w:tcPr>
            <w:tcW w:w="1687" w:type="dxa"/>
            <w:tcBorders>
              <w:top w:val="single" w:sz="6" w:space="0" w:color="auto"/>
              <w:left w:val="single" w:sz="6" w:space="0" w:color="auto"/>
              <w:bottom w:val="single" w:sz="6" w:space="0" w:color="auto"/>
              <w:right w:val="single" w:sz="6" w:space="0" w:color="auto"/>
            </w:tcBorders>
            <w:vAlign w:val="center"/>
            <w:hideMark/>
          </w:tcPr>
          <w:p w14:paraId="48F122FF" w14:textId="77777777" w:rsidR="007B7CE5" w:rsidRPr="007B7CE5" w:rsidRDefault="007B7CE5" w:rsidP="007B7CE5">
            <w:r w:rsidRPr="007B7CE5">
              <w:t>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D87411" w14:textId="77777777" w:rsidR="007B7CE5" w:rsidRPr="007B7CE5" w:rsidRDefault="007B7CE5" w:rsidP="007B7CE5">
            <w:r w:rsidRPr="007B7CE5">
              <w:t>Low</w:t>
            </w:r>
          </w:p>
        </w:tc>
      </w:tr>
      <w:tr w:rsidR="007B7CE5" w:rsidRPr="007B7CE5" w14:paraId="4C630592" w14:textId="77777777" w:rsidTr="007B7CE5">
        <w:trPr>
          <w:tblCellSpacing w:w="15" w:type="dxa"/>
        </w:trPr>
        <w:tc>
          <w:tcPr>
            <w:tcW w:w="1962" w:type="dxa"/>
            <w:tcBorders>
              <w:top w:val="single" w:sz="6" w:space="0" w:color="auto"/>
              <w:left w:val="single" w:sz="6" w:space="0" w:color="auto"/>
              <w:bottom w:val="single" w:sz="6" w:space="0" w:color="auto"/>
              <w:right w:val="single" w:sz="6" w:space="0" w:color="auto"/>
            </w:tcBorders>
            <w:vAlign w:val="center"/>
            <w:hideMark/>
          </w:tcPr>
          <w:p w14:paraId="09972AAC" w14:textId="77777777" w:rsidR="007B7CE5" w:rsidRPr="007B7CE5" w:rsidRDefault="007B7CE5" w:rsidP="007B7CE5">
            <w:r w:rsidRPr="007B7CE5">
              <w:rPr>
                <w:b/>
                <w:bCs/>
              </w:rPr>
              <w:lastRenderedPageBreak/>
              <w:t>Customs Union</w:t>
            </w:r>
          </w:p>
        </w:tc>
        <w:tc>
          <w:tcPr>
            <w:tcW w:w="1797" w:type="dxa"/>
            <w:tcBorders>
              <w:top w:val="single" w:sz="6" w:space="0" w:color="auto"/>
              <w:left w:val="single" w:sz="6" w:space="0" w:color="auto"/>
              <w:bottom w:val="single" w:sz="6" w:space="0" w:color="auto"/>
              <w:right w:val="single" w:sz="6" w:space="0" w:color="auto"/>
            </w:tcBorders>
            <w:vAlign w:val="center"/>
            <w:hideMark/>
          </w:tcPr>
          <w:p w14:paraId="074CB9F1" w14:textId="77777777" w:rsidR="007B7CE5" w:rsidRPr="007B7CE5" w:rsidRDefault="007B7CE5" w:rsidP="007B7CE5">
            <w:r w:rsidRPr="007B7CE5">
              <w:t>Yes</w:t>
            </w:r>
          </w:p>
        </w:tc>
        <w:tc>
          <w:tcPr>
            <w:tcW w:w="1500" w:type="dxa"/>
            <w:tcBorders>
              <w:top w:val="single" w:sz="6" w:space="0" w:color="auto"/>
              <w:left w:val="single" w:sz="6" w:space="0" w:color="auto"/>
              <w:bottom w:val="single" w:sz="6" w:space="0" w:color="auto"/>
              <w:right w:val="single" w:sz="6" w:space="0" w:color="auto"/>
            </w:tcBorders>
            <w:vAlign w:val="center"/>
            <w:hideMark/>
          </w:tcPr>
          <w:p w14:paraId="25860188" w14:textId="77777777" w:rsidR="007B7CE5" w:rsidRPr="007B7CE5" w:rsidRDefault="007B7CE5" w:rsidP="007B7CE5">
            <w:r w:rsidRPr="007B7CE5">
              <w:t>Yes</w:t>
            </w:r>
          </w:p>
        </w:tc>
        <w:tc>
          <w:tcPr>
            <w:tcW w:w="1687" w:type="dxa"/>
            <w:tcBorders>
              <w:top w:val="single" w:sz="6" w:space="0" w:color="auto"/>
              <w:left w:val="single" w:sz="6" w:space="0" w:color="auto"/>
              <w:bottom w:val="single" w:sz="6" w:space="0" w:color="auto"/>
              <w:right w:val="single" w:sz="6" w:space="0" w:color="auto"/>
            </w:tcBorders>
            <w:vAlign w:val="center"/>
            <w:hideMark/>
          </w:tcPr>
          <w:p w14:paraId="20F593FA" w14:textId="77777777" w:rsidR="007B7CE5" w:rsidRPr="007B7CE5" w:rsidRDefault="007B7CE5" w:rsidP="007B7CE5">
            <w:r w:rsidRPr="007B7CE5">
              <w:t>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AA1EF" w14:textId="77777777" w:rsidR="007B7CE5" w:rsidRPr="007B7CE5" w:rsidRDefault="007B7CE5" w:rsidP="007B7CE5">
            <w:r w:rsidRPr="007B7CE5">
              <w:t>Moderate</w:t>
            </w:r>
          </w:p>
        </w:tc>
      </w:tr>
      <w:tr w:rsidR="007B7CE5" w:rsidRPr="007B7CE5" w14:paraId="7172EB75" w14:textId="77777777" w:rsidTr="007B7CE5">
        <w:trPr>
          <w:tblCellSpacing w:w="15" w:type="dxa"/>
        </w:trPr>
        <w:tc>
          <w:tcPr>
            <w:tcW w:w="1962" w:type="dxa"/>
            <w:tcBorders>
              <w:top w:val="single" w:sz="6" w:space="0" w:color="auto"/>
              <w:left w:val="single" w:sz="6" w:space="0" w:color="auto"/>
              <w:bottom w:val="single" w:sz="6" w:space="0" w:color="auto"/>
              <w:right w:val="single" w:sz="6" w:space="0" w:color="auto"/>
            </w:tcBorders>
            <w:vAlign w:val="center"/>
            <w:hideMark/>
          </w:tcPr>
          <w:p w14:paraId="0DD99147" w14:textId="77777777" w:rsidR="007B7CE5" w:rsidRPr="007B7CE5" w:rsidRDefault="007B7CE5" w:rsidP="007B7CE5">
            <w:r w:rsidRPr="007B7CE5">
              <w:rPr>
                <w:b/>
                <w:bCs/>
              </w:rPr>
              <w:t>Common Market</w:t>
            </w:r>
          </w:p>
        </w:tc>
        <w:tc>
          <w:tcPr>
            <w:tcW w:w="1797" w:type="dxa"/>
            <w:tcBorders>
              <w:top w:val="single" w:sz="6" w:space="0" w:color="auto"/>
              <w:left w:val="single" w:sz="6" w:space="0" w:color="auto"/>
              <w:bottom w:val="single" w:sz="6" w:space="0" w:color="auto"/>
              <w:right w:val="single" w:sz="6" w:space="0" w:color="auto"/>
            </w:tcBorders>
            <w:vAlign w:val="center"/>
            <w:hideMark/>
          </w:tcPr>
          <w:p w14:paraId="6EA6FF19" w14:textId="77777777" w:rsidR="007B7CE5" w:rsidRPr="007B7CE5" w:rsidRDefault="007B7CE5" w:rsidP="007B7CE5">
            <w:r w:rsidRPr="007B7CE5">
              <w:t>Yes</w:t>
            </w:r>
          </w:p>
        </w:tc>
        <w:tc>
          <w:tcPr>
            <w:tcW w:w="1500" w:type="dxa"/>
            <w:tcBorders>
              <w:top w:val="single" w:sz="6" w:space="0" w:color="auto"/>
              <w:left w:val="single" w:sz="6" w:space="0" w:color="auto"/>
              <w:bottom w:val="single" w:sz="6" w:space="0" w:color="auto"/>
              <w:right w:val="single" w:sz="6" w:space="0" w:color="auto"/>
            </w:tcBorders>
            <w:vAlign w:val="center"/>
            <w:hideMark/>
          </w:tcPr>
          <w:p w14:paraId="179545AA" w14:textId="77777777" w:rsidR="007B7CE5" w:rsidRPr="007B7CE5" w:rsidRDefault="007B7CE5" w:rsidP="007B7CE5">
            <w:r w:rsidRPr="007B7CE5">
              <w:t>Yes</w:t>
            </w:r>
          </w:p>
        </w:tc>
        <w:tc>
          <w:tcPr>
            <w:tcW w:w="1687" w:type="dxa"/>
            <w:tcBorders>
              <w:top w:val="single" w:sz="6" w:space="0" w:color="auto"/>
              <w:left w:val="single" w:sz="6" w:space="0" w:color="auto"/>
              <w:bottom w:val="single" w:sz="6" w:space="0" w:color="auto"/>
              <w:right w:val="single" w:sz="6" w:space="0" w:color="auto"/>
            </w:tcBorders>
            <w:vAlign w:val="center"/>
            <w:hideMark/>
          </w:tcPr>
          <w:p w14:paraId="549E4DAB" w14:textId="77777777" w:rsidR="007B7CE5" w:rsidRPr="007B7CE5" w:rsidRDefault="007B7CE5" w:rsidP="007B7CE5">
            <w:r w:rsidRPr="007B7CE5">
              <w:t>Yes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67AD4" w14:textId="77777777" w:rsidR="007B7CE5" w:rsidRPr="007B7CE5" w:rsidRDefault="007B7CE5" w:rsidP="007B7CE5">
            <w:r w:rsidRPr="007B7CE5">
              <w:t>High</w:t>
            </w:r>
          </w:p>
        </w:tc>
      </w:tr>
      <w:tr w:rsidR="007B7CE5" w:rsidRPr="007B7CE5" w14:paraId="38F12140" w14:textId="77777777" w:rsidTr="007B7CE5">
        <w:trPr>
          <w:tblCellSpacing w:w="15" w:type="dxa"/>
        </w:trPr>
        <w:tc>
          <w:tcPr>
            <w:tcW w:w="1962" w:type="dxa"/>
            <w:tcBorders>
              <w:top w:val="single" w:sz="6" w:space="0" w:color="auto"/>
              <w:left w:val="single" w:sz="6" w:space="0" w:color="auto"/>
              <w:bottom w:val="single" w:sz="6" w:space="0" w:color="auto"/>
              <w:right w:val="single" w:sz="6" w:space="0" w:color="auto"/>
            </w:tcBorders>
            <w:vAlign w:val="center"/>
            <w:hideMark/>
          </w:tcPr>
          <w:p w14:paraId="60BFDC8A" w14:textId="77777777" w:rsidR="007B7CE5" w:rsidRPr="007B7CE5" w:rsidRDefault="007B7CE5" w:rsidP="007B7CE5">
            <w:r w:rsidRPr="007B7CE5">
              <w:rPr>
                <w:b/>
                <w:bCs/>
              </w:rPr>
              <w:t>Economic/Single Market</w:t>
            </w:r>
          </w:p>
        </w:tc>
        <w:tc>
          <w:tcPr>
            <w:tcW w:w="1797" w:type="dxa"/>
            <w:tcBorders>
              <w:top w:val="single" w:sz="6" w:space="0" w:color="auto"/>
              <w:left w:val="single" w:sz="6" w:space="0" w:color="auto"/>
              <w:bottom w:val="single" w:sz="6" w:space="0" w:color="auto"/>
              <w:right w:val="single" w:sz="6" w:space="0" w:color="auto"/>
            </w:tcBorders>
            <w:vAlign w:val="center"/>
            <w:hideMark/>
          </w:tcPr>
          <w:p w14:paraId="3B7C8FD9" w14:textId="77777777" w:rsidR="007B7CE5" w:rsidRPr="007B7CE5" w:rsidRDefault="007B7CE5" w:rsidP="007B7CE5">
            <w:r w:rsidRPr="007B7CE5">
              <w:t>Yes</w:t>
            </w:r>
          </w:p>
        </w:tc>
        <w:tc>
          <w:tcPr>
            <w:tcW w:w="1500" w:type="dxa"/>
            <w:tcBorders>
              <w:top w:val="single" w:sz="6" w:space="0" w:color="auto"/>
              <w:left w:val="single" w:sz="6" w:space="0" w:color="auto"/>
              <w:bottom w:val="single" w:sz="6" w:space="0" w:color="auto"/>
              <w:right w:val="single" w:sz="6" w:space="0" w:color="auto"/>
            </w:tcBorders>
            <w:vAlign w:val="center"/>
            <w:hideMark/>
          </w:tcPr>
          <w:p w14:paraId="34A73905" w14:textId="77777777" w:rsidR="007B7CE5" w:rsidRPr="007B7CE5" w:rsidRDefault="007B7CE5" w:rsidP="007B7CE5">
            <w:r w:rsidRPr="007B7CE5">
              <w:t>Yes</w:t>
            </w:r>
          </w:p>
        </w:tc>
        <w:tc>
          <w:tcPr>
            <w:tcW w:w="1687" w:type="dxa"/>
            <w:tcBorders>
              <w:top w:val="single" w:sz="6" w:space="0" w:color="auto"/>
              <w:left w:val="single" w:sz="6" w:space="0" w:color="auto"/>
              <w:bottom w:val="single" w:sz="6" w:space="0" w:color="auto"/>
              <w:right w:val="single" w:sz="6" w:space="0" w:color="auto"/>
            </w:tcBorders>
            <w:vAlign w:val="center"/>
            <w:hideMark/>
          </w:tcPr>
          <w:p w14:paraId="0E434FB5" w14:textId="77777777" w:rsidR="007B7CE5" w:rsidRPr="007B7CE5" w:rsidRDefault="007B7CE5" w:rsidP="007B7CE5">
            <w:r w:rsidRPr="007B7CE5">
              <w:t>Yes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592E4" w14:textId="77777777" w:rsidR="007B7CE5" w:rsidRPr="007B7CE5" w:rsidRDefault="007B7CE5" w:rsidP="007B7CE5">
            <w:r w:rsidRPr="007B7CE5">
              <w:t>Complete (Regulatory)</w:t>
            </w:r>
          </w:p>
        </w:tc>
      </w:tr>
      <w:tr w:rsidR="007B7CE5" w:rsidRPr="007B7CE5" w14:paraId="36398D40" w14:textId="77777777" w:rsidTr="007B7CE5">
        <w:trPr>
          <w:tblCellSpacing w:w="15" w:type="dxa"/>
        </w:trPr>
        <w:tc>
          <w:tcPr>
            <w:tcW w:w="1962" w:type="dxa"/>
            <w:tcBorders>
              <w:top w:val="single" w:sz="6" w:space="0" w:color="auto"/>
              <w:left w:val="single" w:sz="6" w:space="0" w:color="auto"/>
              <w:bottom w:val="single" w:sz="6" w:space="0" w:color="auto"/>
              <w:right w:val="single" w:sz="6" w:space="0" w:color="auto"/>
            </w:tcBorders>
            <w:vAlign w:val="center"/>
            <w:hideMark/>
          </w:tcPr>
          <w:p w14:paraId="159567B9" w14:textId="77777777" w:rsidR="007B7CE5" w:rsidRPr="007B7CE5" w:rsidRDefault="007B7CE5" w:rsidP="007B7CE5">
            <w:r w:rsidRPr="007B7CE5">
              <w:rPr>
                <w:b/>
                <w:bCs/>
              </w:rPr>
              <w:t>Economic &amp; Monetary Union</w:t>
            </w:r>
          </w:p>
        </w:tc>
        <w:tc>
          <w:tcPr>
            <w:tcW w:w="1797" w:type="dxa"/>
            <w:tcBorders>
              <w:top w:val="single" w:sz="6" w:space="0" w:color="auto"/>
              <w:left w:val="single" w:sz="6" w:space="0" w:color="auto"/>
              <w:bottom w:val="single" w:sz="6" w:space="0" w:color="auto"/>
              <w:right w:val="single" w:sz="6" w:space="0" w:color="auto"/>
            </w:tcBorders>
            <w:vAlign w:val="center"/>
            <w:hideMark/>
          </w:tcPr>
          <w:p w14:paraId="1FB8E506" w14:textId="77777777" w:rsidR="007B7CE5" w:rsidRPr="007B7CE5" w:rsidRDefault="007B7CE5" w:rsidP="007B7CE5">
            <w:r w:rsidRPr="007B7CE5">
              <w:t>Yes</w:t>
            </w:r>
          </w:p>
        </w:tc>
        <w:tc>
          <w:tcPr>
            <w:tcW w:w="1500" w:type="dxa"/>
            <w:tcBorders>
              <w:top w:val="single" w:sz="6" w:space="0" w:color="auto"/>
              <w:left w:val="single" w:sz="6" w:space="0" w:color="auto"/>
              <w:bottom w:val="single" w:sz="6" w:space="0" w:color="auto"/>
              <w:right w:val="single" w:sz="6" w:space="0" w:color="auto"/>
            </w:tcBorders>
            <w:vAlign w:val="center"/>
            <w:hideMark/>
          </w:tcPr>
          <w:p w14:paraId="1336CF3B" w14:textId="77777777" w:rsidR="007B7CE5" w:rsidRPr="007B7CE5" w:rsidRDefault="007B7CE5" w:rsidP="007B7CE5">
            <w:r w:rsidRPr="007B7CE5">
              <w:t>Yes</w:t>
            </w:r>
          </w:p>
        </w:tc>
        <w:tc>
          <w:tcPr>
            <w:tcW w:w="1687" w:type="dxa"/>
            <w:tcBorders>
              <w:top w:val="single" w:sz="6" w:space="0" w:color="auto"/>
              <w:left w:val="single" w:sz="6" w:space="0" w:color="auto"/>
              <w:bottom w:val="single" w:sz="6" w:space="0" w:color="auto"/>
              <w:right w:val="single" w:sz="6" w:space="0" w:color="auto"/>
            </w:tcBorders>
            <w:vAlign w:val="center"/>
            <w:hideMark/>
          </w:tcPr>
          <w:p w14:paraId="38B8B8D1" w14:textId="77777777" w:rsidR="007B7CE5" w:rsidRPr="007B7CE5" w:rsidRDefault="007B7CE5" w:rsidP="007B7CE5">
            <w:r w:rsidRPr="007B7CE5">
              <w:t>Yes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6EE1D" w14:textId="77777777" w:rsidR="007B7CE5" w:rsidRPr="007B7CE5" w:rsidRDefault="007B7CE5" w:rsidP="007B7CE5">
            <w:r w:rsidRPr="007B7CE5">
              <w:t>Complete (Fiscal/Monetary)</w:t>
            </w:r>
          </w:p>
        </w:tc>
      </w:tr>
    </w:tbl>
    <w:p w14:paraId="58ECAB5D" w14:textId="77777777" w:rsidR="007B7CE5" w:rsidRPr="007B7CE5" w:rsidRDefault="007B7CE5" w:rsidP="007B7CE5">
      <w:pPr>
        <w:rPr>
          <w:b/>
          <w:bCs/>
        </w:rPr>
      </w:pPr>
      <w:r w:rsidRPr="007B7CE5">
        <w:rPr>
          <w:b/>
          <w:bCs/>
        </w:rPr>
        <w:t xml:space="preserve">The Theoretical Underpinnings of Trade Integration: The </w:t>
      </w:r>
      <w:proofErr w:type="spellStart"/>
      <w:r w:rsidRPr="007B7CE5">
        <w:rPr>
          <w:b/>
          <w:bCs/>
        </w:rPr>
        <w:t>Vinerian</w:t>
      </w:r>
      <w:proofErr w:type="spellEnd"/>
      <w:r w:rsidRPr="007B7CE5">
        <w:rPr>
          <w:b/>
          <w:bCs/>
        </w:rPr>
        <w:t xml:space="preserve"> Paradigm</w:t>
      </w:r>
    </w:p>
    <w:p w14:paraId="0A76E3D5" w14:textId="77777777" w:rsidR="007B7CE5" w:rsidRPr="007B7CE5" w:rsidRDefault="007B7CE5" w:rsidP="007B7CE5">
      <w:r w:rsidRPr="007B7CE5">
        <w:t>The economic rationale for regional integration is fundamentally rooted in the concepts of comparative advantage and economies of scale. However, the welfare effects of forming a trade bloc are not universally positive, a nuance first articulated by Jacob Viner in his seminal 1950 work, "The Customs Union Issue". Viner’s analysis moved beyond the simplified view that any move toward free trade is beneficial, introducing a microeconomic model to illustrate the potential distortions inflicted on global trade dynamics by bilateral rather than unilateral tariff reductions.</w:t>
      </w:r>
    </w:p>
    <w:p w14:paraId="0E0F1C14" w14:textId="77777777" w:rsidR="007B7CE5" w:rsidRPr="007B7CE5" w:rsidRDefault="007B7CE5" w:rsidP="007B7CE5">
      <w:pPr>
        <w:rPr>
          <w:b/>
          <w:bCs/>
        </w:rPr>
      </w:pPr>
      <w:r w:rsidRPr="007B7CE5">
        <w:rPr>
          <w:b/>
          <w:bCs/>
        </w:rPr>
        <w:t>Trade Creation and Economic Efficiency</w:t>
      </w:r>
    </w:p>
    <w:p w14:paraId="74B4D97E" w14:textId="77777777" w:rsidR="007B7CE5" w:rsidRPr="007B7CE5" w:rsidRDefault="007B7CE5" w:rsidP="007B7CE5">
      <w:r w:rsidRPr="007B7CE5">
        <w:t>Trade creation occurs when the removal of trade barriers within a regional bloc leads a member country to replace its higher-cost domestic production with lower-cost imports from a more efficient partner within the union. This shift represents a genuine improvement in global resource allocation, as production gravitates toward firms with a legitimate comparative advantage. The resulting increase in bilateral trade generally produces a net economic gain characterized by lower consumer prices, increased product diversity, and higher overall welfare for the participating nations.</w:t>
      </w:r>
    </w:p>
    <w:p w14:paraId="5908B9BF" w14:textId="77777777" w:rsidR="007B7CE5" w:rsidRPr="007B7CE5" w:rsidRDefault="007B7CE5" w:rsidP="007B7CE5">
      <w:r w:rsidRPr="007B7CE5">
        <w:t>In the context of the European Union, a textbook example of trade creation involves the German automotive sector. If Germany, as an efficient producer, can export car components to France at a lower price than France could produce them domestically, the elimination of tariffs allows France to shift its resources to other sectors while consumers benefit from more affordable vehicles. This efficiency gain is characterized by a shift in consumption of an importable good from a high-cost domestic producer to a lower-cost external producer within the bloc.</w:t>
      </w:r>
    </w:p>
    <w:p w14:paraId="3ECAC1B5" w14:textId="77777777" w:rsidR="007B7CE5" w:rsidRPr="007B7CE5" w:rsidRDefault="007B7CE5" w:rsidP="007B7CE5">
      <w:pPr>
        <w:rPr>
          <w:b/>
          <w:bCs/>
        </w:rPr>
      </w:pPr>
      <w:r w:rsidRPr="007B7CE5">
        <w:rPr>
          <w:b/>
          <w:bCs/>
        </w:rPr>
        <w:t>Trade Diversion and Market Distortions</w:t>
      </w:r>
    </w:p>
    <w:p w14:paraId="0376171F" w14:textId="77777777" w:rsidR="007B7CE5" w:rsidRPr="007B7CE5" w:rsidRDefault="007B7CE5" w:rsidP="007B7CE5">
      <w:r w:rsidRPr="007B7CE5">
        <w:t xml:space="preserve">Conversely, trade diversion occurs when a member country shifts its source of imports from a lower-cost, more efficient producer outside the trade bloc to a higher-cost, less efficient producer within the bloc, simply because the latter now enjoys preferential tariff treatment. This phenomenon can lead to a net economic loss for the importing country and the global economy, </w:t>
      </w:r>
      <w:r w:rsidRPr="007B7CE5">
        <w:lastRenderedPageBreak/>
        <w:t xml:space="preserve">as it distorts trade patterns away from globally efficient producers toward regional partners solely </w:t>
      </w:r>
      <w:proofErr w:type="gramStart"/>
      <w:r w:rsidRPr="007B7CE5">
        <w:t>on the basis of</w:t>
      </w:r>
      <w:proofErr w:type="gramEnd"/>
      <w:r w:rsidRPr="007B7CE5">
        <w:t xml:space="preserve"> price discrimination.</w:t>
      </w:r>
    </w:p>
    <w:p w14:paraId="6461B5FC" w14:textId="77777777" w:rsidR="007B7CE5" w:rsidRPr="007B7CE5" w:rsidRDefault="007B7CE5" w:rsidP="007B7CE5">
      <w:r w:rsidRPr="007B7CE5">
        <w:t>A prominent example of trade diversion is the historical case of the United Kingdom’s lamb imports. Before joining the European Economic Community (EEC), the UK imported lower-cost lamb from New Zealand. Following its entry into the EEC, the implementation of common tariffs on non-members made New Zealand lamb more expensive than higher-cost lamb produced within Europe, causing the UK to shift its source of supply and creating an efficiency loss. Viner’s theory posits that the desirability of a customs union decreases as the degree of complementarity between members increases, as complementarity often encourages the replacement of imports from third countries rather than the replacement of high-cost domestic production.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6"/>
        <w:gridCol w:w="3025"/>
        <w:gridCol w:w="4305"/>
      </w:tblGrid>
      <w:tr w:rsidR="007B7CE5" w:rsidRPr="007B7CE5" w14:paraId="3862543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8F6775" w14:textId="77777777" w:rsidR="007B7CE5" w:rsidRPr="007B7CE5" w:rsidRDefault="007B7CE5" w:rsidP="007B7CE5">
            <w:r w:rsidRPr="007B7CE5">
              <w:rPr>
                <w:b/>
                <w:bC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09DFC" w14:textId="77777777" w:rsidR="007B7CE5" w:rsidRPr="007B7CE5" w:rsidRDefault="007B7CE5" w:rsidP="007B7CE5">
            <w:r w:rsidRPr="007B7CE5">
              <w:rPr>
                <w:b/>
                <w:bCs/>
              </w:rPr>
              <w:t>Trade Creation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439CC61" w14:textId="77777777" w:rsidR="007B7CE5" w:rsidRPr="007B7CE5" w:rsidRDefault="007B7CE5" w:rsidP="007B7CE5">
            <w:r w:rsidRPr="007B7CE5">
              <w:rPr>
                <w:b/>
                <w:bCs/>
              </w:rPr>
              <w:t>Trade Diversion</w:t>
            </w:r>
          </w:p>
        </w:tc>
      </w:tr>
      <w:tr w:rsidR="007B7CE5" w:rsidRPr="007B7CE5" w14:paraId="46FDE2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45BDEA" w14:textId="77777777" w:rsidR="007B7CE5" w:rsidRPr="007B7CE5" w:rsidRDefault="007B7CE5" w:rsidP="007B7CE5">
            <w:r w:rsidRPr="007B7CE5">
              <w:rPr>
                <w:b/>
                <w:bCs/>
              </w:rPr>
              <w:t>Shift in Production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37E1F" w14:textId="77777777" w:rsidR="007B7CE5" w:rsidRPr="007B7CE5" w:rsidRDefault="007B7CE5" w:rsidP="007B7CE5">
            <w:r w:rsidRPr="007B7CE5">
              <w:t>From high-cost domestic to low-cost partner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25A2302" w14:textId="77777777" w:rsidR="007B7CE5" w:rsidRPr="007B7CE5" w:rsidRDefault="007B7CE5" w:rsidP="007B7CE5">
            <w:r w:rsidRPr="007B7CE5">
              <w:t xml:space="preserve">From low-cost non-member to high-cost partner </w:t>
            </w:r>
          </w:p>
        </w:tc>
      </w:tr>
      <w:tr w:rsidR="007B7CE5" w:rsidRPr="007B7CE5" w14:paraId="29981B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F8CC0A" w14:textId="77777777" w:rsidR="007B7CE5" w:rsidRPr="007B7CE5" w:rsidRDefault="007B7CE5" w:rsidP="007B7CE5">
            <w:r w:rsidRPr="007B7CE5">
              <w:rPr>
                <w:b/>
                <w:bCs/>
              </w:rPr>
              <w:t>Efficiency Impact</w:t>
            </w:r>
          </w:p>
        </w:tc>
        <w:tc>
          <w:tcPr>
            <w:tcW w:w="0" w:type="auto"/>
            <w:tcBorders>
              <w:top w:val="single" w:sz="6" w:space="0" w:color="auto"/>
              <w:left w:val="single" w:sz="6" w:space="0" w:color="auto"/>
              <w:bottom w:val="single" w:sz="6" w:space="0" w:color="auto"/>
              <w:right w:val="single" w:sz="6" w:space="0" w:color="auto"/>
            </w:tcBorders>
            <w:vAlign w:val="center"/>
            <w:hideMark/>
          </w:tcPr>
          <w:p w14:paraId="27B858DA" w14:textId="77777777" w:rsidR="007B7CE5" w:rsidRPr="007B7CE5" w:rsidRDefault="007B7CE5" w:rsidP="007B7CE5">
            <w:r w:rsidRPr="007B7CE5">
              <w:t>Improves global resource allocation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56608" w14:textId="77777777" w:rsidR="007B7CE5" w:rsidRPr="007B7CE5" w:rsidRDefault="007B7CE5" w:rsidP="007B7CE5">
            <w:r w:rsidRPr="007B7CE5">
              <w:t xml:space="preserve">Distorts global trade patterns </w:t>
            </w:r>
          </w:p>
        </w:tc>
      </w:tr>
      <w:tr w:rsidR="007B7CE5" w:rsidRPr="007B7CE5" w14:paraId="372F16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696182" w14:textId="77777777" w:rsidR="007B7CE5" w:rsidRPr="007B7CE5" w:rsidRDefault="007B7CE5" w:rsidP="007B7CE5">
            <w:r w:rsidRPr="007B7CE5">
              <w:rPr>
                <w:b/>
                <w:bCs/>
              </w:rPr>
              <w:t>Welfare Outcome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E8687" w14:textId="77777777" w:rsidR="007B7CE5" w:rsidRPr="007B7CE5" w:rsidRDefault="007B7CE5" w:rsidP="007B7CE5">
            <w:r w:rsidRPr="007B7CE5">
              <w:t>Generally positive for consumers and nation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BBBC4" w14:textId="77777777" w:rsidR="007B7CE5" w:rsidRPr="007B7CE5" w:rsidRDefault="007B7CE5" w:rsidP="007B7CE5">
            <w:r w:rsidRPr="007B7CE5">
              <w:t xml:space="preserve">Potentially negative; dampens overall welfare </w:t>
            </w:r>
          </w:p>
        </w:tc>
      </w:tr>
      <w:tr w:rsidR="007B7CE5" w:rsidRPr="007B7CE5" w14:paraId="7F0684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6E1EB5" w14:textId="77777777" w:rsidR="007B7CE5" w:rsidRPr="007B7CE5" w:rsidRDefault="007B7CE5" w:rsidP="007B7CE5">
            <w:r w:rsidRPr="007B7CE5">
              <w:rPr>
                <w:b/>
                <w:bCs/>
              </w:rPr>
              <w:t>Price Effect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CD6C1" w14:textId="77777777" w:rsidR="007B7CE5" w:rsidRPr="007B7CE5" w:rsidRDefault="007B7CE5" w:rsidP="007B7CE5">
            <w:r w:rsidRPr="007B7CE5">
              <w:t>Decreases prices through efficiency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76B27" w14:textId="77777777" w:rsidR="007B7CE5" w:rsidRPr="007B7CE5" w:rsidRDefault="007B7CE5" w:rsidP="007B7CE5">
            <w:r w:rsidRPr="007B7CE5">
              <w:t xml:space="preserve">Prices may rise compared to world-market levels </w:t>
            </w:r>
          </w:p>
        </w:tc>
      </w:tr>
      <w:tr w:rsidR="007B7CE5" w:rsidRPr="007B7CE5" w14:paraId="32C49F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0761A5" w14:textId="77777777" w:rsidR="007B7CE5" w:rsidRPr="007B7CE5" w:rsidRDefault="007B7CE5" w:rsidP="007B7CE5">
            <w:r w:rsidRPr="007B7CE5">
              <w:rPr>
                <w:b/>
                <w:bCs/>
              </w:rPr>
              <w:t>Example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9BC67" w14:textId="77777777" w:rsidR="007B7CE5" w:rsidRPr="007B7CE5" w:rsidRDefault="007B7CE5" w:rsidP="007B7CE5">
            <w:r w:rsidRPr="007B7CE5">
              <w:t>Germany car parts to France (EU)</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D7D81" w14:textId="77777777" w:rsidR="007B7CE5" w:rsidRPr="007B7CE5" w:rsidRDefault="007B7CE5" w:rsidP="007B7CE5">
            <w:r w:rsidRPr="007B7CE5">
              <w:t xml:space="preserve">Brazil shifting wheat from Canada to Argentina (MERCOSUR) </w:t>
            </w:r>
          </w:p>
        </w:tc>
      </w:tr>
    </w:tbl>
    <w:p w14:paraId="3C2D585B" w14:textId="77777777" w:rsidR="007B7CE5" w:rsidRPr="007B7CE5" w:rsidRDefault="007B7CE5" w:rsidP="007B7CE5">
      <w:pPr>
        <w:rPr>
          <w:b/>
          <w:bCs/>
        </w:rPr>
      </w:pPr>
      <w:r w:rsidRPr="007B7CE5">
        <w:rPr>
          <w:b/>
          <w:bCs/>
        </w:rPr>
        <w:t>The Mechanics and Challenges of the Customs Union</w:t>
      </w:r>
    </w:p>
    <w:p w14:paraId="32A3659D" w14:textId="77777777" w:rsidR="007B7CE5" w:rsidRPr="007B7CE5" w:rsidRDefault="007B7CE5" w:rsidP="007B7CE5">
      <w:r w:rsidRPr="007B7CE5">
        <w:t>The transition from a Free Trade Area to a Customs Union represents a critical milestone in economic integration, moving from a system based on national autonomy to one requiring collective regional action. While an FTA eliminates internal tariffs, it allows each member to maintain its own external trade policy toward the rest of the world. This independence creates the risk of "trade deflection," where third-party exporters seek to enter the bloc through the country with the lowest external tariff to avoid higher duties elsewhere. To counter this, FTAs must implement complex "rules of origin," which require exporters to provide extensive documentation proving that a product was sufficiently manufactured within the bloc.</w:t>
      </w:r>
    </w:p>
    <w:p w14:paraId="417E079C" w14:textId="77777777" w:rsidR="007B7CE5" w:rsidRPr="007B7CE5" w:rsidRDefault="007B7CE5" w:rsidP="007B7CE5">
      <w:pPr>
        <w:rPr>
          <w:b/>
          <w:bCs/>
        </w:rPr>
      </w:pPr>
      <w:r w:rsidRPr="007B7CE5">
        <w:rPr>
          <w:b/>
          <w:bCs/>
        </w:rPr>
        <w:t>The Common External Tariff and Free Circulation</w:t>
      </w:r>
    </w:p>
    <w:p w14:paraId="1AF6C1C4" w14:textId="77777777" w:rsidR="007B7CE5" w:rsidRPr="007B7CE5" w:rsidRDefault="007B7CE5" w:rsidP="007B7CE5">
      <w:r w:rsidRPr="007B7CE5">
        <w:t xml:space="preserve">A Customs Union resolves the problem of trade deflection by implementing a Common External Tariff (CET), ensuring that goods imported from outside the union attract the same duty regardless of their point of entry. Once this common duty is paid at the external border, the goods </w:t>
      </w:r>
      <w:proofErr w:type="gramStart"/>
      <w:r w:rsidRPr="007B7CE5">
        <w:t>enter into</w:t>
      </w:r>
      <w:proofErr w:type="gramEnd"/>
      <w:r w:rsidRPr="007B7CE5">
        <w:t xml:space="preserve"> "free circulation" and can move throughout the member states without further </w:t>
      </w:r>
      <w:r w:rsidRPr="007B7CE5">
        <w:lastRenderedPageBreak/>
        <w:t>customs checks, internal tariffs, or rules-of-origin documentation. This simplification significantly reduces the administrative burden on businesses and facilitates the fluidity of regional trade.</w:t>
      </w:r>
    </w:p>
    <w:p w14:paraId="07744ABB" w14:textId="77777777" w:rsidR="007B7CE5" w:rsidRPr="007B7CE5" w:rsidRDefault="007B7CE5" w:rsidP="007B7CE5">
      <w:r w:rsidRPr="007B7CE5">
        <w:t xml:space="preserve">However, agreeing on a CET is a politically and economically complex </w:t>
      </w:r>
      <w:proofErr w:type="spellStart"/>
      <w:r w:rsidRPr="007B7CE5">
        <w:t>endeavor</w:t>
      </w:r>
      <w:proofErr w:type="spellEnd"/>
      <w:r w:rsidRPr="007B7CE5">
        <w:t>. Member countries must harmonize their trade policies across thousands of import industries, a process that requires significant compromise and often forces a nation to abandon strategic trade relationships with third countries. The surrendering of trade policy autonomy means that members must negotiate as a unified bloc in global forums such as the World Trade Organization (WTO). Members of the WTO are permitted to establish customs unions under Article XXIV of the General Agreement on Tariffs and Trade (GATT), provided that the union covers "substantially all trade" and does not result in higher average tariffs for non-members than existed previously.</w:t>
      </w:r>
    </w:p>
    <w:p w14:paraId="1363A933" w14:textId="77777777" w:rsidR="007B7CE5" w:rsidRPr="007B7CE5" w:rsidRDefault="007B7CE5" w:rsidP="007B7CE5">
      <w:pPr>
        <w:rPr>
          <w:b/>
          <w:bCs/>
        </w:rPr>
      </w:pPr>
      <w:r w:rsidRPr="007B7CE5">
        <w:rPr>
          <w:b/>
          <w:bCs/>
        </w:rPr>
        <w:t>Revenue Distribution and Customs Cooperation</w:t>
      </w:r>
    </w:p>
    <w:p w14:paraId="715EC505" w14:textId="77777777" w:rsidR="007B7CE5" w:rsidRPr="007B7CE5" w:rsidRDefault="007B7CE5" w:rsidP="007B7CE5">
      <w:r w:rsidRPr="007B7CE5">
        <w:t>Beyond the tariff itself, a functioning customs union requires deep cooperation in customs administration and the apportionment of collected revenues. In the European Union, customs duties collected at external ports like Rotterdam or Antwerp are treated as "own resources" for the EU budget, rather than belonging to the specific country where the goods first landed. In other unions, such as the Southern African Customs Union (SACU)—the world’s oldest, founded in 1910—complex revenue-sharing formulas are used to distribute funds among members like Botswana, Lesotho, Namibia, and South Africa. The failure to implement a common customs code or a centralized revenue-sharing mechanism remains a significant barrier to the maturation of other blocs, such as MERCOSUR, where members still maintain individual customs borders and have struggled to ratify a unified code.</w:t>
      </w:r>
    </w:p>
    <w:p w14:paraId="5BB93332" w14:textId="77777777" w:rsidR="007B7CE5" w:rsidRPr="007B7CE5" w:rsidRDefault="007B7CE5" w:rsidP="007B7CE5">
      <w:pPr>
        <w:rPr>
          <w:b/>
          <w:bCs/>
        </w:rPr>
      </w:pPr>
      <w:r w:rsidRPr="007B7CE5">
        <w:rPr>
          <w:b/>
          <w:bCs/>
        </w:rPr>
        <w:t>The Common Market and the Four Freedoms of Movement</w:t>
      </w:r>
    </w:p>
    <w:p w14:paraId="6AEDF208" w14:textId="77777777" w:rsidR="007B7CE5" w:rsidRPr="007B7CE5" w:rsidRDefault="007B7CE5" w:rsidP="007B7CE5">
      <w:r w:rsidRPr="007B7CE5">
        <w:t xml:space="preserve">A Common Market represents a deeper tier of integration that encompasses all features of a customs union while extending the principle of free movement to the factors of production: </w:t>
      </w:r>
      <w:proofErr w:type="spellStart"/>
      <w:r w:rsidRPr="007B7CE5">
        <w:t>labor</w:t>
      </w:r>
      <w:proofErr w:type="spellEnd"/>
      <w:r w:rsidRPr="007B7CE5">
        <w:t xml:space="preserve"> and capital. The objective is to create a regional economic space where firms and individuals can operate with the same ease as they would within a single national territory. This is traditionally achieved through the guarantee of the "four fundamental freedoms": the free movement of goods, services, capital, and persons.</w:t>
      </w:r>
    </w:p>
    <w:p w14:paraId="456B1A30" w14:textId="77777777" w:rsidR="007B7CE5" w:rsidRPr="007B7CE5" w:rsidRDefault="007B7CE5" w:rsidP="007B7CE5">
      <w:pPr>
        <w:rPr>
          <w:b/>
          <w:bCs/>
        </w:rPr>
      </w:pPr>
      <w:r w:rsidRPr="007B7CE5">
        <w:rPr>
          <w:b/>
          <w:bCs/>
        </w:rPr>
        <w:t>Free Movement of Persons and Labor</w:t>
      </w:r>
    </w:p>
    <w:p w14:paraId="38D871E3" w14:textId="77777777" w:rsidR="007B7CE5" w:rsidRPr="007B7CE5" w:rsidRDefault="007B7CE5" w:rsidP="007B7CE5">
      <w:r w:rsidRPr="007B7CE5">
        <w:t xml:space="preserve">Perhaps the most socially and politically significant aspect of a common market is the free movement of </w:t>
      </w:r>
      <w:proofErr w:type="spellStart"/>
      <w:r w:rsidRPr="007B7CE5">
        <w:t>labor</w:t>
      </w:r>
      <w:proofErr w:type="spellEnd"/>
      <w:r w:rsidRPr="007B7CE5">
        <w:t>. This freedom grants citizens of member states the right to move and reside freely within the union for the purpose of employment. This entails the abolition of discrimination based on nationality regarding employment, remuneration, and other conditions of work. It also includes the recognition of professional qualifications across the union, allowing a Danish architect to practice in Portugal or a French engineer to work in Italy without facing undue bureaucratic obstacles.</w:t>
      </w:r>
    </w:p>
    <w:p w14:paraId="6295F21F" w14:textId="77777777" w:rsidR="007B7CE5" w:rsidRPr="007B7CE5" w:rsidRDefault="007B7CE5" w:rsidP="007B7CE5">
      <w:r w:rsidRPr="007B7CE5">
        <w:lastRenderedPageBreak/>
        <w:t xml:space="preserve">The implications of factor mobility are profound. From an economic perspective, allowing </w:t>
      </w:r>
      <w:proofErr w:type="spellStart"/>
      <w:r w:rsidRPr="007B7CE5">
        <w:t>labor</w:t>
      </w:r>
      <w:proofErr w:type="spellEnd"/>
      <w:r w:rsidRPr="007B7CE5">
        <w:t xml:space="preserve"> to move from regions of high unemployment to regions of high demand optimizes resource allocation and increases overall productivity. However, this freedom is often the most contentious to maintain, as it can lead to concerns about "social dumping"—where differences in wages and social security standards between member states are exploited to gain a competitive advantage—and can spark domestic political resistance to migration.</w:t>
      </w:r>
    </w:p>
    <w:p w14:paraId="2D76753E" w14:textId="77777777" w:rsidR="007B7CE5" w:rsidRPr="007B7CE5" w:rsidRDefault="007B7CE5" w:rsidP="007B7CE5">
      <w:pPr>
        <w:rPr>
          <w:b/>
          <w:bCs/>
        </w:rPr>
      </w:pPr>
      <w:r w:rsidRPr="007B7CE5">
        <w:rPr>
          <w:b/>
          <w:bCs/>
        </w:rPr>
        <w:t>Free Movement of Services and Capital</w:t>
      </w:r>
    </w:p>
    <w:p w14:paraId="347C872B" w14:textId="77777777" w:rsidR="007B7CE5" w:rsidRPr="007B7CE5" w:rsidRDefault="007B7CE5" w:rsidP="007B7CE5">
      <w:r w:rsidRPr="007B7CE5">
        <w:t>The free movement of services allows professionals and firms to provide services across borders either through temporary cross-border activity or by establishing a permanent presence in another member state (freedom of establishment). This is often the most difficult freedom to implement due to the intangible nature of services and the deep-seated national regulations governing sectors like finance, legal services, and energy.</w:t>
      </w:r>
    </w:p>
    <w:p w14:paraId="285A4694" w14:textId="77777777" w:rsidR="007B7CE5" w:rsidRPr="007B7CE5" w:rsidRDefault="007B7CE5" w:rsidP="007B7CE5">
      <w:r w:rsidRPr="007B7CE5">
        <w:t>Complementing this is the free movement of capital, which prohibits restrictions on capital movements and payments between member states and between members and third countries. This liberalization reduces transaction costs for cross-border investments and allows investors to deploy capital where it can be most efficiently utilized. In the European context, the free movement of capital was a vital prerequisite for the development of the Economic and Monetary Union (EMU) and the eventual introduction of the Euro.</w:t>
      </w:r>
    </w:p>
    <w:p w14:paraId="2A5259F5" w14:textId="77777777" w:rsidR="007B7CE5" w:rsidRPr="007B7CE5" w:rsidRDefault="007B7CE5" w:rsidP="007B7CE5">
      <w:pPr>
        <w:rPr>
          <w:b/>
          <w:bCs/>
        </w:rPr>
      </w:pPr>
      <w:r w:rsidRPr="007B7CE5">
        <w:rPr>
          <w:b/>
          <w:bCs/>
        </w:rPr>
        <w:t>The Evolution of the Single Market: Overcoming Invisible Barriers</w:t>
      </w:r>
    </w:p>
    <w:p w14:paraId="3451DCB4" w14:textId="77777777" w:rsidR="007B7CE5" w:rsidRPr="007B7CE5" w:rsidRDefault="007B7CE5" w:rsidP="007B7CE5">
      <w:r w:rsidRPr="007B7CE5">
        <w:t xml:space="preserve">While the terms "Common Market" and "Single Market" are often used interchangeably, the Single Market (or Internal Market) represents a more advanced and refined stage of integration. A common market may eliminate tariffs and allow </w:t>
      </w:r>
      <w:proofErr w:type="spellStart"/>
      <w:r w:rsidRPr="007B7CE5">
        <w:t>labor</w:t>
      </w:r>
      <w:proofErr w:type="spellEnd"/>
      <w:r w:rsidRPr="007B7CE5">
        <w:t xml:space="preserve"> mobility, but it can still be plagued by technical, legal, and fiscal barriers that prevent a truly integrated economy. A Single Market aims to eliminate these technical obstacles through a comprehensive set of regulations, enforcement mechanisms, and arbitration processes.</w:t>
      </w:r>
    </w:p>
    <w:p w14:paraId="438CB0EB" w14:textId="77777777" w:rsidR="007B7CE5" w:rsidRPr="007B7CE5" w:rsidRDefault="007B7CE5" w:rsidP="007B7CE5">
      <w:pPr>
        <w:rPr>
          <w:b/>
          <w:bCs/>
        </w:rPr>
      </w:pPr>
      <w:r w:rsidRPr="007B7CE5">
        <w:rPr>
          <w:b/>
          <w:bCs/>
        </w:rPr>
        <w:t>Technical, Legal, and Fiscal Barrier Removal</w:t>
      </w:r>
    </w:p>
    <w:p w14:paraId="076C04CF" w14:textId="77777777" w:rsidR="007B7CE5" w:rsidRPr="007B7CE5" w:rsidRDefault="007B7CE5" w:rsidP="007B7CE5">
      <w:r w:rsidRPr="007B7CE5">
        <w:t>The creation of a single market requires the removal of three primary types of barriers:</w:t>
      </w:r>
    </w:p>
    <w:p w14:paraId="56014015" w14:textId="77777777" w:rsidR="007B7CE5" w:rsidRPr="007B7CE5" w:rsidRDefault="007B7CE5" w:rsidP="007B7CE5">
      <w:pPr>
        <w:numPr>
          <w:ilvl w:val="0"/>
          <w:numId w:val="1"/>
        </w:numPr>
      </w:pPr>
      <w:r w:rsidRPr="007B7CE5">
        <w:rPr>
          <w:b/>
          <w:bCs/>
        </w:rPr>
        <w:t>Technical Barriers:</w:t>
      </w:r>
      <w:r w:rsidRPr="007B7CE5">
        <w:t xml:space="preserve"> These involve differences in national product regulations, safety standards, and packaging requirements. Without harmonization, a manufacturer might have to produce twenty-seven different versions of a lawnmower to meet the specific noise or safety rules of each member state.</w:t>
      </w:r>
    </w:p>
    <w:p w14:paraId="09043907" w14:textId="77777777" w:rsidR="007B7CE5" w:rsidRPr="007B7CE5" w:rsidRDefault="007B7CE5" w:rsidP="007B7CE5">
      <w:pPr>
        <w:numPr>
          <w:ilvl w:val="0"/>
          <w:numId w:val="1"/>
        </w:numPr>
      </w:pPr>
      <w:r w:rsidRPr="007B7CE5">
        <w:rPr>
          <w:b/>
          <w:bCs/>
        </w:rPr>
        <w:t>Fiscal Barriers:</w:t>
      </w:r>
      <w:r w:rsidRPr="007B7CE5">
        <w:t xml:space="preserve"> These concern differences in national tax systems, particularly indirect taxes like VAT and excise duties. While total tax harmonization is rare, the single market seeks to align these systems sufficiently to prevent competitive distortions and the need for border tax adjustments.</w:t>
      </w:r>
    </w:p>
    <w:p w14:paraId="020C7B64" w14:textId="77777777" w:rsidR="007B7CE5" w:rsidRPr="007B7CE5" w:rsidRDefault="007B7CE5" w:rsidP="007B7CE5">
      <w:pPr>
        <w:numPr>
          <w:ilvl w:val="0"/>
          <w:numId w:val="1"/>
        </w:numPr>
      </w:pPr>
      <w:r w:rsidRPr="007B7CE5">
        <w:rPr>
          <w:b/>
          <w:bCs/>
        </w:rPr>
        <w:t>Physical/Legal Barriers:</w:t>
      </w:r>
      <w:r w:rsidRPr="007B7CE5">
        <w:t xml:space="preserve"> Physical barriers refer to border controls, which were largely abolished in the EU through the Schengen Agreement. Legal barriers include national </w:t>
      </w:r>
      <w:r w:rsidRPr="007B7CE5">
        <w:lastRenderedPageBreak/>
        <w:t>laws that obstruct enterprise, such as discriminatory procurement policies or the lack of mutual recognition for professional licenses.</w:t>
      </w:r>
    </w:p>
    <w:p w14:paraId="33E6677F" w14:textId="77777777" w:rsidR="007B7CE5" w:rsidRPr="007B7CE5" w:rsidRDefault="007B7CE5" w:rsidP="007B7CE5">
      <w:pPr>
        <w:rPr>
          <w:b/>
          <w:bCs/>
        </w:rPr>
      </w:pPr>
      <w:r w:rsidRPr="007B7CE5">
        <w:rPr>
          <w:b/>
          <w:bCs/>
        </w:rPr>
        <w:t>Harmonization vs. Mutual Recognition</w:t>
      </w:r>
    </w:p>
    <w:p w14:paraId="291D4783" w14:textId="77777777" w:rsidR="007B7CE5" w:rsidRPr="007B7CE5" w:rsidRDefault="007B7CE5" w:rsidP="007B7CE5">
      <w:r w:rsidRPr="007B7CE5">
        <w:t xml:space="preserve">The Single Market utilizes two primary legislative strategies to overcome technical barriers. The first is </w:t>
      </w:r>
      <w:r w:rsidRPr="007B7CE5">
        <w:rPr>
          <w:b/>
          <w:bCs/>
        </w:rPr>
        <w:t>Harmonization</w:t>
      </w:r>
      <w:r w:rsidRPr="007B7CE5">
        <w:t>, the process of creating a single set of regional rules that replace divergent national standards. This "positive integration" is essential in sectors where health, safety, or environmental standards are paramount, such as pharmaceuticals or chemical regulation.</w:t>
      </w:r>
    </w:p>
    <w:p w14:paraId="634D24EF" w14:textId="77777777" w:rsidR="007B7CE5" w:rsidRPr="007B7CE5" w:rsidRDefault="007B7CE5" w:rsidP="007B7CE5">
      <w:r w:rsidRPr="007B7CE5">
        <w:t xml:space="preserve">The second strategy is the </w:t>
      </w:r>
      <w:r w:rsidRPr="007B7CE5">
        <w:rPr>
          <w:b/>
          <w:bCs/>
        </w:rPr>
        <w:t>Principle of Mutual Recognition</w:t>
      </w:r>
      <w:r w:rsidRPr="007B7CE5">
        <w:t xml:space="preserve">, established by the European Court of Justice (ECJ) in the landmark 1979 </w:t>
      </w:r>
      <w:r w:rsidRPr="007B7CE5">
        <w:rPr>
          <w:i/>
          <w:iCs/>
        </w:rPr>
        <w:t>Cassis de Dijon</w:t>
      </w:r>
      <w:r w:rsidRPr="007B7CE5">
        <w:t xml:space="preserve"> case. The court ruled that if a product is legally produced and marketed in one member state, it must be accepted in all others unless the importing state can justify a restriction based on "mandatory requirements" such as public health or consumer protection. Mutual recognition allows for market integration without the need for exhaustive, time-consuming legislation for every single product, fostering both uniformity in market access and diversity in consumer choice.</w:t>
      </w:r>
    </w:p>
    <w:p w14:paraId="218ED572" w14:textId="77777777" w:rsidR="007B7CE5" w:rsidRPr="007B7CE5" w:rsidRDefault="007B7CE5" w:rsidP="007B7CE5">
      <w:pPr>
        <w:rPr>
          <w:b/>
          <w:bCs/>
        </w:rPr>
      </w:pPr>
      <w:r w:rsidRPr="007B7CE5">
        <w:rPr>
          <w:b/>
          <w:bCs/>
        </w:rPr>
        <w:t>Governance Models: Supranationalism versus Intergovernmentalism</w:t>
      </w:r>
    </w:p>
    <w:p w14:paraId="7F9F2A1C" w14:textId="77777777" w:rsidR="007B7CE5" w:rsidRPr="007B7CE5" w:rsidRDefault="007B7CE5" w:rsidP="007B7CE5">
      <w:r w:rsidRPr="007B7CE5">
        <w:t>The depth and success of economic integration are inextricably linked to the institutional framework governing the trade bloc. National governments must decide whether to cooperate through intergovernmental arrangements or to delegate authority to supranational institutions.</w:t>
      </w:r>
    </w:p>
    <w:p w14:paraId="181F811D" w14:textId="77777777" w:rsidR="007B7CE5" w:rsidRPr="007B7CE5" w:rsidRDefault="007B7CE5" w:rsidP="007B7CE5">
      <w:pPr>
        <w:rPr>
          <w:b/>
          <w:bCs/>
        </w:rPr>
      </w:pPr>
      <w:r w:rsidRPr="007B7CE5">
        <w:rPr>
          <w:b/>
          <w:bCs/>
        </w:rPr>
        <w:t>Intergovernmentalism: Sovereignty and Consensus</w:t>
      </w:r>
    </w:p>
    <w:p w14:paraId="0BA902A4" w14:textId="77777777" w:rsidR="007B7CE5" w:rsidRPr="007B7CE5" w:rsidRDefault="007B7CE5" w:rsidP="007B7CE5">
      <w:r w:rsidRPr="007B7CE5">
        <w:t>In an intergovernmental model, such as that employed by MERCOSUR or ASEAN, decision-making power remains entirely with the member states. Decisions are typically made by consensus during summits of national leaders, and any state can exercise a veto to block proposals. While this model allows nations to retain their sovereignty, it frequently leads to institutional paralysis, as regional goals are often sacrificed to domestic political interests. In MERCOSUR, the lack of a supranational court or commission means that disputes are often resolved through "presidential diplomacy" rather than binding arbitration, leading to inconsistent application of trade rules.</w:t>
      </w:r>
    </w:p>
    <w:p w14:paraId="6DD6FD88" w14:textId="77777777" w:rsidR="007B7CE5" w:rsidRPr="007B7CE5" w:rsidRDefault="007B7CE5" w:rsidP="007B7CE5">
      <w:pPr>
        <w:rPr>
          <w:b/>
          <w:bCs/>
        </w:rPr>
      </w:pPr>
      <w:r w:rsidRPr="007B7CE5">
        <w:rPr>
          <w:b/>
          <w:bCs/>
        </w:rPr>
        <w:t>Supranationalism: Pooling Sovereignty</w:t>
      </w:r>
    </w:p>
    <w:p w14:paraId="6BC92DD5" w14:textId="77777777" w:rsidR="007B7CE5" w:rsidRPr="007B7CE5" w:rsidRDefault="007B7CE5" w:rsidP="007B7CE5">
      <w:r w:rsidRPr="007B7CE5">
        <w:t>The European Union represents the world's most advanced supranational model. Member states have agreed to "pool" their sovereignty by delegating decision-making powers to independent bodies like the European Commission and the European Court of Justice. Supranational law has "direct effect," meaning it creates rights for individuals that national courts must uphold, even against their own governments. This institutional structure allows the EU to make decisions through "Qualified Majority Voting" (QMV) in many areas, preventing a single country from blocking progress on the single market. The autonomy of this legal order is the "Archimedean point" of European integration, providing the stability and predictability necessary for a unified market of 450 million consumers.</w:t>
      </w:r>
    </w:p>
    <w:p w14:paraId="1FF04615" w14:textId="77777777" w:rsidR="007B7CE5" w:rsidRPr="007B7CE5" w:rsidRDefault="007B7CE5" w:rsidP="007B7CE5">
      <w:pPr>
        <w:rPr>
          <w:b/>
          <w:bCs/>
        </w:rPr>
      </w:pPr>
      <w:r w:rsidRPr="007B7CE5">
        <w:rPr>
          <w:b/>
          <w:bCs/>
        </w:rPr>
        <w:lastRenderedPageBreak/>
        <w:t>Regional Integration in Practice: The MERCOSUR Experience</w:t>
      </w:r>
    </w:p>
    <w:p w14:paraId="5FBD574A" w14:textId="77777777" w:rsidR="007B7CE5" w:rsidRPr="007B7CE5" w:rsidRDefault="007B7CE5" w:rsidP="007B7CE5">
      <w:r w:rsidRPr="007B7CE5">
        <w:t>Founded in 1991 with the goal of creating a common market in South America, MERCOSUR (Southern Common Market) illustrates the challenges of integration among developing economies with significant structural asymmetries. While its founding documents envisioned an EU-style union, the bloc has struggled to move beyond a "fractious" and incomplete customs union.</w:t>
      </w:r>
    </w:p>
    <w:p w14:paraId="7DCA8C8B" w14:textId="77777777" w:rsidR="007B7CE5" w:rsidRPr="007B7CE5" w:rsidRDefault="007B7CE5" w:rsidP="007B7CE5">
      <w:pPr>
        <w:rPr>
          <w:b/>
          <w:bCs/>
        </w:rPr>
      </w:pPr>
      <w:r w:rsidRPr="007B7CE5">
        <w:rPr>
          <w:b/>
          <w:bCs/>
        </w:rPr>
        <w:t>Institutional Limitations and External Pressures</w:t>
      </w:r>
    </w:p>
    <w:p w14:paraId="5E7EA874" w14:textId="77777777" w:rsidR="007B7CE5" w:rsidRPr="007B7CE5" w:rsidRDefault="007B7CE5" w:rsidP="007B7CE5">
      <w:r w:rsidRPr="007B7CE5">
        <w:t>MERCOSUR’s progress has been hampered by a lack of supranational capacity and the persistence of national exceptions to its Common External Tariff. Major sectors like the automotive and sugar industries remain excluded from the union's trade rules, shielded by national interests. Furthermore, the bloc's reliance on intergovernmental consensus makes it highly susceptible to domestic political shifts in Brazil and Argentina. The recent alternation between integrationist and protectionist governments in these larger states has often resulted in regional paralysis.</w:t>
      </w:r>
    </w:p>
    <w:p w14:paraId="3C116300" w14:textId="77777777" w:rsidR="007B7CE5" w:rsidRPr="007B7CE5" w:rsidRDefault="007B7CE5" w:rsidP="007B7CE5">
      <w:r w:rsidRPr="007B7CE5">
        <w:t xml:space="preserve">Entering 2025, MERCOSUR faces additional pressure from the shifting landscape of global trade. China has become the bloc's largest export and import partner, with trade flows </w:t>
      </w:r>
      <w:proofErr w:type="spellStart"/>
      <w:r w:rsidRPr="007B7CE5">
        <w:t>totaling</w:t>
      </w:r>
      <w:proofErr w:type="spellEnd"/>
      <w:r w:rsidRPr="007B7CE5">
        <w:t xml:space="preserve"> $180.9 billion in 2025—four times the level of intra-bloc trade. This has led to internal tensions, such as Uruguay’s attempts to negotiate a bilateral free trade deal with Beijing, which would violate MERCOSUR’s requirement for a unified external trade policy. The ongoing attempt to finalize a trade agreement with the European Union is seen as a vital opportunity to revitalize the bloc's internal convergence, though it faces "headwinds" due to European concerns over environmental standards and MERCOSUR's demands for greater industrial policy space.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3630"/>
        <w:gridCol w:w="3016"/>
      </w:tblGrid>
      <w:tr w:rsidR="007B7CE5" w:rsidRPr="007B7CE5" w14:paraId="59C32D6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0FD052" w14:textId="77777777" w:rsidR="007B7CE5" w:rsidRPr="007B7CE5" w:rsidRDefault="007B7CE5" w:rsidP="007B7CE5">
            <w:r w:rsidRPr="007B7CE5">
              <w:rPr>
                <w:b/>
                <w:bCs/>
              </w:rPr>
              <w:t>Challenge for MERCOSUR</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77AAF" w14:textId="77777777" w:rsidR="007B7CE5" w:rsidRPr="007B7CE5" w:rsidRDefault="007B7CE5" w:rsidP="007B7CE5">
            <w:r w:rsidRPr="007B7CE5">
              <w:rPr>
                <w:b/>
                <w:bCs/>
              </w:rPr>
              <w:t>Economic/Political Impact</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A5B74" w14:textId="77777777" w:rsidR="007B7CE5" w:rsidRPr="007B7CE5" w:rsidRDefault="007B7CE5" w:rsidP="007B7CE5">
            <w:proofErr w:type="gramStart"/>
            <w:r w:rsidRPr="007B7CE5">
              <w:rPr>
                <w:b/>
                <w:bCs/>
              </w:rPr>
              <w:t>Future Outlook</w:t>
            </w:r>
            <w:proofErr w:type="gramEnd"/>
            <w:r w:rsidRPr="007B7CE5">
              <w:rPr>
                <w:b/>
                <w:bCs/>
              </w:rPr>
              <w:t xml:space="preserve"> (2025-2026)</w:t>
            </w:r>
          </w:p>
        </w:tc>
      </w:tr>
      <w:tr w:rsidR="007B7CE5" w:rsidRPr="007B7CE5" w14:paraId="26A333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B0E3F1" w14:textId="77777777" w:rsidR="007B7CE5" w:rsidRPr="007B7CE5" w:rsidRDefault="007B7CE5" w:rsidP="007B7CE5">
            <w:r w:rsidRPr="007B7CE5">
              <w:rPr>
                <w:b/>
                <w:bCs/>
              </w:rPr>
              <w:t>Institutional Rigidity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30255823" w14:textId="77777777" w:rsidR="007B7CE5" w:rsidRPr="007B7CE5" w:rsidRDefault="007B7CE5" w:rsidP="007B7CE5">
            <w:r w:rsidRPr="007B7CE5">
              <w:t xml:space="preserve">Decisions require consensus; frequent paralysis </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30A69" w14:textId="77777777" w:rsidR="007B7CE5" w:rsidRPr="007B7CE5" w:rsidRDefault="007B7CE5" w:rsidP="007B7CE5">
            <w:r w:rsidRPr="007B7CE5">
              <w:t xml:space="preserve">Ongoing pressure for governance reform </w:t>
            </w:r>
          </w:p>
        </w:tc>
      </w:tr>
      <w:tr w:rsidR="007B7CE5" w:rsidRPr="007B7CE5" w14:paraId="080D222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097755" w14:textId="77777777" w:rsidR="007B7CE5" w:rsidRPr="007B7CE5" w:rsidRDefault="007B7CE5" w:rsidP="007B7CE5">
            <w:r w:rsidRPr="007B7CE5">
              <w:rPr>
                <w:b/>
                <w:bCs/>
              </w:rPr>
              <w:t>CET Exceptions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3CDC0" w14:textId="77777777" w:rsidR="007B7CE5" w:rsidRPr="007B7CE5" w:rsidRDefault="007B7CE5" w:rsidP="007B7CE5">
            <w:r w:rsidRPr="007B7CE5">
              <w:t xml:space="preserve">Cars and sugar sectors are not integrated </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8F85E" w14:textId="77777777" w:rsidR="007B7CE5" w:rsidRPr="007B7CE5" w:rsidRDefault="007B7CE5" w:rsidP="007B7CE5">
            <w:r w:rsidRPr="007B7CE5">
              <w:t xml:space="preserve">Efforts to reduce tariff barriers are slow </w:t>
            </w:r>
          </w:p>
        </w:tc>
      </w:tr>
      <w:tr w:rsidR="007B7CE5" w:rsidRPr="007B7CE5" w14:paraId="3099FA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E37972" w14:textId="77777777" w:rsidR="007B7CE5" w:rsidRPr="007B7CE5" w:rsidRDefault="007B7CE5" w:rsidP="007B7CE5">
            <w:r w:rsidRPr="007B7CE5">
              <w:rPr>
                <w:b/>
                <w:bCs/>
              </w:rPr>
              <w:t>Trade Asymmetry</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6F75D" w14:textId="77777777" w:rsidR="007B7CE5" w:rsidRPr="007B7CE5" w:rsidRDefault="007B7CE5" w:rsidP="007B7CE5">
            <w:r w:rsidRPr="007B7CE5">
              <w:t xml:space="preserve">Intra-bloc trade is only 11.7% of total exports </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C6276" w14:textId="77777777" w:rsidR="007B7CE5" w:rsidRPr="007B7CE5" w:rsidRDefault="007B7CE5" w:rsidP="007B7CE5">
            <w:r w:rsidRPr="007B7CE5">
              <w:t xml:space="preserve">Increasing dependence on Chinese markets </w:t>
            </w:r>
          </w:p>
        </w:tc>
      </w:tr>
      <w:tr w:rsidR="007B7CE5" w:rsidRPr="007B7CE5" w14:paraId="2E610F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36305C" w14:textId="77777777" w:rsidR="007B7CE5" w:rsidRPr="007B7CE5" w:rsidRDefault="007B7CE5" w:rsidP="007B7CE5">
            <w:r w:rsidRPr="007B7CE5">
              <w:rPr>
                <w:b/>
                <w:bCs/>
              </w:rPr>
              <w:t>Legal Implementation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9F644" w14:textId="77777777" w:rsidR="007B7CE5" w:rsidRPr="007B7CE5" w:rsidRDefault="007B7CE5" w:rsidP="007B7CE5">
            <w:r w:rsidRPr="007B7CE5">
              <w:t xml:space="preserve">Directives must be ratified by national parliaments </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9550F" w14:textId="77777777" w:rsidR="007B7CE5" w:rsidRPr="007B7CE5" w:rsidRDefault="007B7CE5" w:rsidP="007B7CE5">
            <w:r w:rsidRPr="007B7CE5">
              <w:t xml:space="preserve">Massive backlog of non-ratified legislation </w:t>
            </w:r>
          </w:p>
        </w:tc>
      </w:tr>
      <w:tr w:rsidR="007B7CE5" w:rsidRPr="007B7CE5" w14:paraId="555E7E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A7B596" w14:textId="77777777" w:rsidR="007B7CE5" w:rsidRPr="007B7CE5" w:rsidRDefault="007B7CE5" w:rsidP="007B7CE5">
            <w:r w:rsidRPr="007B7CE5">
              <w:rPr>
                <w:b/>
                <w:bCs/>
              </w:rPr>
              <w:t>Environmental Issues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E2957" w14:textId="77777777" w:rsidR="007B7CE5" w:rsidRPr="007B7CE5" w:rsidRDefault="007B7CE5" w:rsidP="007B7CE5">
            <w:r w:rsidRPr="007B7CE5">
              <w:t xml:space="preserve">Friction with EU over Amazon deforestation </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4AD05" w14:textId="77777777" w:rsidR="007B7CE5" w:rsidRPr="007B7CE5" w:rsidRDefault="007B7CE5" w:rsidP="007B7CE5">
            <w:r w:rsidRPr="007B7CE5">
              <w:t xml:space="preserve">Brazil pushing animal traceability for COP30 </w:t>
            </w:r>
          </w:p>
        </w:tc>
      </w:tr>
    </w:tbl>
    <w:p w14:paraId="2524B467" w14:textId="77777777" w:rsidR="007B7CE5" w:rsidRPr="007B7CE5" w:rsidRDefault="007B7CE5" w:rsidP="007B7CE5">
      <w:pPr>
        <w:rPr>
          <w:b/>
          <w:bCs/>
        </w:rPr>
      </w:pPr>
      <w:r w:rsidRPr="007B7CE5">
        <w:rPr>
          <w:b/>
          <w:bCs/>
        </w:rPr>
        <w:t>Regional Integration in Practice: The Gulf Cooperation Council (GCC)</w:t>
      </w:r>
    </w:p>
    <w:p w14:paraId="0C298B9E" w14:textId="77777777" w:rsidR="007B7CE5" w:rsidRPr="007B7CE5" w:rsidRDefault="007B7CE5" w:rsidP="007B7CE5">
      <w:r w:rsidRPr="007B7CE5">
        <w:lastRenderedPageBreak/>
        <w:t>The Gulf Cooperation Council offers a different model of integration, characterized by six high-income, oil-dependent economies—Bahrain, Kuwait, Oman, Qatar, Saudi Arabia, and the United Arab Emirates—seeking diversification through digital transformation and infrastructure connectivity.</w:t>
      </w:r>
    </w:p>
    <w:p w14:paraId="30DDE8B8" w14:textId="77777777" w:rsidR="007B7CE5" w:rsidRPr="007B7CE5" w:rsidRDefault="007B7CE5" w:rsidP="007B7CE5">
      <w:pPr>
        <w:rPr>
          <w:b/>
          <w:bCs/>
        </w:rPr>
      </w:pPr>
      <w:r w:rsidRPr="007B7CE5">
        <w:rPr>
          <w:b/>
          <w:bCs/>
        </w:rPr>
        <w:t>Resilience and Strategic Diversification</w:t>
      </w:r>
    </w:p>
    <w:p w14:paraId="4C3596C9" w14:textId="77777777" w:rsidR="007B7CE5" w:rsidRPr="007B7CE5" w:rsidRDefault="007B7CE5" w:rsidP="007B7CE5">
      <w:r w:rsidRPr="007B7CE5">
        <w:t>As of late 2025, the GCC has demonstrated significant economic resilience, with growth projected to reach 4.8% in the UAE and 3.8% in Saudi Arabia. The bloc has achieved a high degree of factor mobility, granting citizens national treatment across member states in employment and investment. The current focus of the region is on "Vision" strategies that prioritize non-oil sectors, such as logistics, tourism, and financial services, supported by a rapid adoption of Artificial Intelligence (AI).</w:t>
      </w:r>
    </w:p>
    <w:p w14:paraId="3EE682D9" w14:textId="77777777" w:rsidR="007B7CE5" w:rsidRPr="007B7CE5" w:rsidRDefault="007B7CE5" w:rsidP="007B7CE5">
      <w:r w:rsidRPr="007B7CE5">
        <w:t>Trade dynamics in the GCC are evolving toward a "</w:t>
      </w:r>
      <w:proofErr w:type="gramStart"/>
      <w:r w:rsidRPr="007B7CE5">
        <w:t>commercially-focused</w:t>
      </w:r>
      <w:proofErr w:type="gramEnd"/>
      <w:r w:rsidRPr="007B7CE5">
        <w:t>" diplomacy, with a rapid expansion of bilateral Comprehensive Economic Partnership Agreements (CEPAs) with partners in Asia, Africa, and Europe. These agreements allow members to align trade policy with domestic economic priorities while supporting deeper cooperation in fields like digital trade and green standards.</w:t>
      </w:r>
    </w:p>
    <w:p w14:paraId="2C3692E7" w14:textId="77777777" w:rsidR="007B7CE5" w:rsidRPr="007B7CE5" w:rsidRDefault="007B7CE5" w:rsidP="007B7CE5">
      <w:pPr>
        <w:rPr>
          <w:b/>
          <w:bCs/>
        </w:rPr>
      </w:pPr>
      <w:r w:rsidRPr="007B7CE5">
        <w:rPr>
          <w:b/>
          <w:bCs/>
        </w:rPr>
        <w:t>The Monetary Union and Currency Pegs</w:t>
      </w:r>
    </w:p>
    <w:p w14:paraId="44AE7A1D" w14:textId="77777777" w:rsidR="007B7CE5" w:rsidRPr="007B7CE5" w:rsidRDefault="007B7CE5" w:rsidP="007B7CE5">
      <w:r w:rsidRPr="007B7CE5">
        <w:t>The ambition for a full GCC Monetary Union has faced substantial hurdles. While the institutional architecture is in place, progress toward a single currency has stalled following the withdrawal of the UAE and Oman from the process. The primary challenge remains the structural similarity of the economies; because they are all major oil exporters, their business cycles are highly synchronized with global oil prices rather than internal trade.</w:t>
      </w:r>
    </w:p>
    <w:p w14:paraId="748F8E56" w14:textId="77777777" w:rsidR="007B7CE5" w:rsidRPr="007B7CE5" w:rsidRDefault="007B7CE5" w:rsidP="007B7CE5">
      <w:r w:rsidRPr="007B7CE5">
        <w:t>Furthermore, all GCC states maintain a hard peg to the U.S. Dollar (with Kuwait using a basket peg), which has provided long-term macroeconomic stability but limits their ability to conduct independent monetary policy. The differing levels of financial buffers and the ability to tighten fiscal policy across the region have created "peso problems" and increased the risks of a currency crisis in countries with lower reserves. In 2026, the focus of GCC integration has shifted toward physical connectivity, such as the GCC Railway project, and regulatory alignment, such as the proposed unified tourist visa, which offer tangible economic gains without the sovereignty costs of a monetary union.</w:t>
      </w:r>
    </w:p>
    <w:p w14:paraId="42547759" w14:textId="77777777" w:rsidR="007B7CE5" w:rsidRPr="007B7CE5" w:rsidRDefault="007B7CE5" w:rsidP="007B7CE5">
      <w:pPr>
        <w:rPr>
          <w:b/>
          <w:bCs/>
        </w:rPr>
      </w:pPr>
      <w:r w:rsidRPr="007B7CE5">
        <w:rPr>
          <w:b/>
          <w:bCs/>
        </w:rPr>
        <w:t>Future Frontiers: The Digital Single Market and Sustainability</w:t>
      </w:r>
    </w:p>
    <w:p w14:paraId="3D735FC8" w14:textId="77777777" w:rsidR="007B7CE5" w:rsidRPr="007B7CE5" w:rsidRDefault="007B7CE5" w:rsidP="007B7CE5">
      <w:r w:rsidRPr="007B7CE5">
        <w:t xml:space="preserve">As the global economy faces increasing geo-economic fragmentation, the nature of economic integration is evolving beyond the traditional focus on physical goods and tariffs. The next generation of trade agreements is increasingly </w:t>
      </w:r>
      <w:proofErr w:type="spellStart"/>
      <w:r w:rsidRPr="007B7CE5">
        <w:t>centered</w:t>
      </w:r>
      <w:proofErr w:type="spellEnd"/>
      <w:r w:rsidRPr="007B7CE5">
        <w:t xml:space="preserve"> on digital integration and environmental sustainability.</w:t>
      </w:r>
    </w:p>
    <w:p w14:paraId="0E2E5C51" w14:textId="77777777" w:rsidR="007B7CE5" w:rsidRPr="007B7CE5" w:rsidRDefault="007B7CE5" w:rsidP="007B7CE5">
      <w:pPr>
        <w:rPr>
          <w:b/>
          <w:bCs/>
        </w:rPr>
      </w:pPr>
      <w:r w:rsidRPr="007B7CE5">
        <w:rPr>
          <w:b/>
          <w:bCs/>
        </w:rPr>
        <w:t>The Digital Single Market Initiative</w:t>
      </w:r>
    </w:p>
    <w:p w14:paraId="23984F0B" w14:textId="77777777" w:rsidR="007B7CE5" w:rsidRPr="007B7CE5" w:rsidRDefault="007B7CE5" w:rsidP="007B7CE5">
      <w:r w:rsidRPr="007B7CE5">
        <w:t xml:space="preserve">The European Union has pioneered the "Digital Single Market," which aims to ensure that the four freedoms apply as effectively online as they do offline. This involves harmonizing rules </w:t>
      </w:r>
      <w:r w:rsidRPr="007B7CE5">
        <w:lastRenderedPageBreak/>
        <w:t>for e-commerce, digital services, and data protection to allow businesses to scale across the union without navigating 27 different regulatory frameworks. Recent high-level reports, such as the 2024 Letta Report, have called for a "fifth freedom" focused on the free movement of knowledge and innovation to support the digital transition. Similarly, the GCC is aggressively pursuing digital transformation, integrating generative AI applications into government services and startup ecosystems.</w:t>
      </w:r>
    </w:p>
    <w:p w14:paraId="251D14A4" w14:textId="77777777" w:rsidR="007B7CE5" w:rsidRPr="007B7CE5" w:rsidRDefault="007B7CE5" w:rsidP="007B7CE5">
      <w:pPr>
        <w:rPr>
          <w:b/>
          <w:bCs/>
        </w:rPr>
      </w:pPr>
      <w:r w:rsidRPr="007B7CE5">
        <w:rPr>
          <w:b/>
          <w:bCs/>
        </w:rPr>
        <w:t>The "Green" Trade Pillar</w:t>
      </w:r>
    </w:p>
    <w:p w14:paraId="67ADA188" w14:textId="77777777" w:rsidR="007B7CE5" w:rsidRPr="007B7CE5" w:rsidRDefault="007B7CE5" w:rsidP="007B7CE5">
      <w:r w:rsidRPr="007B7CE5">
        <w:t xml:space="preserve">Environmental sustainability has become a "cornerstone" of modern trade negotiations. The controversy surrounding the EU-MERCOSUR agreement highlights how trade liberalization is now conditioned on commitments to the Paris Agreement and deforestation-free supply chains. While these provisions are intended to prevent a "race to the bottom" in environmental standards, they also introduce new complexities into the integration process, as members must align their domestic environmental and </w:t>
      </w:r>
      <w:proofErr w:type="spellStart"/>
      <w:r w:rsidRPr="007B7CE5">
        <w:t>labor</w:t>
      </w:r>
      <w:proofErr w:type="spellEnd"/>
      <w:r w:rsidRPr="007B7CE5">
        <w:t xml:space="preserve"> laws to maintain market access.</w:t>
      </w:r>
    </w:p>
    <w:p w14:paraId="0B1AC2F7" w14:textId="77777777" w:rsidR="007B7CE5" w:rsidRPr="007B7CE5" w:rsidRDefault="007B7CE5" w:rsidP="007B7CE5">
      <w:pPr>
        <w:rPr>
          <w:b/>
          <w:bCs/>
        </w:rPr>
      </w:pPr>
      <w:r w:rsidRPr="007B7CE5">
        <w:rPr>
          <w:b/>
          <w:bCs/>
        </w:rPr>
        <w:t>The Socio-Political Economy of Sovereignty and Integration</w:t>
      </w:r>
    </w:p>
    <w:p w14:paraId="1CB62811" w14:textId="77777777" w:rsidR="007B7CE5" w:rsidRPr="007B7CE5" w:rsidRDefault="007B7CE5" w:rsidP="007B7CE5">
      <w:r w:rsidRPr="007B7CE5">
        <w:t xml:space="preserve">The defining characteristic of the journey from a free trade area to a single market is the progressive surrendering of national sovereignty. In a simple FTA, a nation retains the power to set its own taxes, </w:t>
      </w:r>
      <w:proofErr w:type="spellStart"/>
      <w:r w:rsidRPr="007B7CE5">
        <w:t>labor</w:t>
      </w:r>
      <w:proofErr w:type="spellEnd"/>
      <w:r w:rsidRPr="007B7CE5">
        <w:t xml:space="preserve"> laws, and external tariffs. By the time it reaches a single market, it has delegated the power to set product standards to a regional body, allowed foreign citizens to work in its public services, and accepted the jurisdiction of a supranational court.</w:t>
      </w:r>
    </w:p>
    <w:p w14:paraId="132BDFB5" w14:textId="77777777" w:rsidR="007B7CE5" w:rsidRPr="007B7CE5" w:rsidRDefault="007B7CE5" w:rsidP="007B7CE5">
      <w:r w:rsidRPr="007B7CE5">
        <w:t>This loss of "de jure" sovereignty—the legal right to be the ultimate authority in a territory—is often traded for "de facto" sovereignty—the actual ability to control economic outcomes in a globalized world. By pooling their resources, smaller nations can exert greater influence in international trade negotiations and create a larger, more attractive market for foreign investment. However, the tension between these two forms of sovereignty remains the primary source of political resistance to integration, as seen in the debates over Brexit or the "ever closer union" in Europe.</w:t>
      </w:r>
    </w:p>
    <w:p w14:paraId="1531D9D4" w14:textId="77777777" w:rsidR="007B7CE5" w:rsidRPr="007B7CE5" w:rsidRDefault="007B7CE5" w:rsidP="007B7CE5">
      <w:pPr>
        <w:rPr>
          <w:b/>
          <w:bCs/>
        </w:rPr>
      </w:pPr>
      <w:r w:rsidRPr="007B7CE5">
        <w:rPr>
          <w:b/>
          <w:bCs/>
        </w:rPr>
        <w:t>Synthesis and Conclusion</w:t>
      </w:r>
    </w:p>
    <w:p w14:paraId="347E60E6" w14:textId="77777777" w:rsidR="007B7CE5" w:rsidRPr="007B7CE5" w:rsidRDefault="007B7CE5" w:rsidP="007B7CE5">
      <w:r w:rsidRPr="007B7CE5">
        <w:t>Economic integration represents a sophisticated spectrum of cooperation ranging from loose trade facilitation to complete political and economic unification. The transition from a customs union to a common market, and eventually a single market, requires more than just the elimination of duties; it necessitates the alignment of the very regulatory and legal foundations of the state. The European Union’s success in creating a unified market of 450 million consumers demonstrates the power of supranational institutions to overcome technical and legal barriers.</w:t>
      </w:r>
    </w:p>
    <w:p w14:paraId="6F582AF3" w14:textId="77777777" w:rsidR="007B7CE5" w:rsidRPr="007B7CE5" w:rsidRDefault="007B7CE5" w:rsidP="007B7CE5">
      <w:r w:rsidRPr="007B7CE5">
        <w:t xml:space="preserve">However, the experiences of MERCOSUR and the GCC highlight that integration is not a linear or inevitable process. Structural asymmetries, political volatility, and oil dependence can stall the integration ladder, forcing regions to find pragmatic alternatives to full unification. As we look toward 2026, the focus of integration is shifting toward the digital and green frontiers, where the "four freedoms" will be tested by the challenges of the data economy and the climate </w:t>
      </w:r>
      <w:r w:rsidRPr="007B7CE5">
        <w:lastRenderedPageBreak/>
        <w:t>crisis. For the student of economics and international relations, understanding these stages is not merely about memorizing definitions; it is about recognizing the profound trade-offs between national independence and regional prosperity that define the modern world.</w:t>
      </w:r>
    </w:p>
    <w:p w14:paraId="1F0BADF2" w14:textId="77777777" w:rsidR="007B7CE5" w:rsidRDefault="007B7CE5"/>
    <w:sectPr w:rsidR="007B7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03B09"/>
    <w:multiLevelType w:val="multilevel"/>
    <w:tmpl w:val="12080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26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E5"/>
    <w:rsid w:val="00043EA7"/>
    <w:rsid w:val="00413D49"/>
    <w:rsid w:val="007B7CE5"/>
    <w:rsid w:val="007D3FD5"/>
    <w:rsid w:val="007F11A3"/>
    <w:rsid w:val="00CC242F"/>
    <w:rsid w:val="00F64513"/>
    <w:rsid w:val="00FE6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FA91"/>
  <w15:chartTrackingRefBased/>
  <w15:docId w15:val="{DAD7B8E0-38E2-45C9-88EE-83ABA9D4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E5"/>
    <w:pPr>
      <w:jc w:val="both"/>
    </w:pPr>
    <w:rPr>
      <w:rFonts w:ascii="Times New Roman" w:hAnsi="Times New Roman"/>
    </w:rPr>
  </w:style>
  <w:style w:type="paragraph" w:styleId="Heading1">
    <w:name w:val="heading 1"/>
    <w:basedOn w:val="Normal"/>
    <w:next w:val="Normal"/>
    <w:link w:val="Heading1Char"/>
    <w:uiPriority w:val="9"/>
    <w:qFormat/>
    <w:rsid w:val="007B7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CE5"/>
    <w:rPr>
      <w:rFonts w:eastAsiaTheme="majorEastAsia" w:cstheme="majorBidi"/>
      <w:color w:val="272727" w:themeColor="text1" w:themeTint="D8"/>
    </w:rPr>
  </w:style>
  <w:style w:type="paragraph" w:styleId="Title">
    <w:name w:val="Title"/>
    <w:basedOn w:val="Normal"/>
    <w:next w:val="Normal"/>
    <w:link w:val="TitleChar"/>
    <w:uiPriority w:val="10"/>
    <w:qFormat/>
    <w:rsid w:val="007B7CE5"/>
    <w:pPr>
      <w:spacing w:after="80" w:line="36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7B7CE5"/>
    <w:rPr>
      <w:rFonts w:ascii="Times New Roman" w:eastAsiaTheme="majorEastAsia" w:hAnsi="Times New Roman" w:cstheme="majorBidi"/>
      <w:b/>
      <w:spacing w:val="-10"/>
      <w:kern w:val="28"/>
      <w:sz w:val="32"/>
      <w:szCs w:val="56"/>
    </w:rPr>
  </w:style>
  <w:style w:type="paragraph" w:styleId="Subtitle">
    <w:name w:val="Subtitle"/>
    <w:basedOn w:val="Normal"/>
    <w:next w:val="Normal"/>
    <w:link w:val="SubtitleChar"/>
    <w:uiPriority w:val="11"/>
    <w:qFormat/>
    <w:rsid w:val="007B7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CE5"/>
    <w:pPr>
      <w:spacing w:before="160"/>
      <w:jc w:val="center"/>
    </w:pPr>
    <w:rPr>
      <w:i/>
      <w:iCs/>
      <w:color w:val="404040" w:themeColor="text1" w:themeTint="BF"/>
    </w:rPr>
  </w:style>
  <w:style w:type="character" w:customStyle="1" w:styleId="QuoteChar">
    <w:name w:val="Quote Char"/>
    <w:basedOn w:val="DefaultParagraphFont"/>
    <w:link w:val="Quote"/>
    <w:uiPriority w:val="29"/>
    <w:rsid w:val="007B7CE5"/>
    <w:rPr>
      <w:i/>
      <w:iCs/>
      <w:color w:val="404040" w:themeColor="text1" w:themeTint="BF"/>
    </w:rPr>
  </w:style>
  <w:style w:type="paragraph" w:styleId="ListParagraph">
    <w:name w:val="List Paragraph"/>
    <w:basedOn w:val="Normal"/>
    <w:uiPriority w:val="34"/>
    <w:qFormat/>
    <w:rsid w:val="007B7CE5"/>
    <w:pPr>
      <w:ind w:left="720"/>
      <w:contextualSpacing/>
    </w:pPr>
  </w:style>
  <w:style w:type="character" w:styleId="IntenseEmphasis">
    <w:name w:val="Intense Emphasis"/>
    <w:basedOn w:val="DefaultParagraphFont"/>
    <w:uiPriority w:val="21"/>
    <w:qFormat/>
    <w:rsid w:val="007B7CE5"/>
    <w:rPr>
      <w:i/>
      <w:iCs/>
      <w:color w:val="0F4761" w:themeColor="accent1" w:themeShade="BF"/>
    </w:rPr>
  </w:style>
  <w:style w:type="paragraph" w:styleId="IntenseQuote">
    <w:name w:val="Intense Quote"/>
    <w:basedOn w:val="Normal"/>
    <w:next w:val="Normal"/>
    <w:link w:val="IntenseQuoteChar"/>
    <w:uiPriority w:val="30"/>
    <w:qFormat/>
    <w:rsid w:val="007B7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CE5"/>
    <w:rPr>
      <w:i/>
      <w:iCs/>
      <w:color w:val="0F4761" w:themeColor="accent1" w:themeShade="BF"/>
    </w:rPr>
  </w:style>
  <w:style w:type="character" w:styleId="IntenseReference">
    <w:name w:val="Intense Reference"/>
    <w:basedOn w:val="DefaultParagraphFont"/>
    <w:uiPriority w:val="32"/>
    <w:qFormat/>
    <w:rsid w:val="007B7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3853</Words>
  <Characters>21963</Characters>
  <Application>Microsoft Office Word</Application>
  <DocSecurity>0</DocSecurity>
  <Lines>183</Lines>
  <Paragraphs>51</Paragraphs>
  <ScaleCrop>false</ScaleCrop>
  <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Drastichová Magdaléna</dc:creator>
  <cp:keywords/>
  <dc:description/>
  <cp:lastModifiedBy>Drastichová Magdaléna</cp:lastModifiedBy>
  <cp:revision>2</cp:revision>
  <dcterms:created xsi:type="dcterms:W3CDTF">2026-03-21T22:19:00Z</dcterms:created>
  <dcterms:modified xsi:type="dcterms:W3CDTF">2026-03-21T22:19:00Z</dcterms:modified>
</cp:coreProperties>
</file>