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371EA" w14:textId="77777777" w:rsidR="007960D8" w:rsidRDefault="00000000" w:rsidP="007D484D">
      <w:pPr>
        <w:pStyle w:val="Heading1"/>
        <w:jc w:val="both"/>
      </w:pPr>
      <w:r>
        <w:t>Kaefer and Procacci v French State (Joined Cases 100 &amp; 101/89)</w:t>
      </w:r>
    </w:p>
    <w:p w14:paraId="2A55F740" w14:textId="77777777" w:rsidR="007960D8" w:rsidRDefault="00000000" w:rsidP="007D484D">
      <w:pPr>
        <w:jc w:val="both"/>
      </w:pPr>
      <w:r>
        <w:t xml:space="preserve">The case of </w:t>
      </w:r>
      <w:r w:rsidRPr="007D484D">
        <w:rPr>
          <w:i/>
          <w:iCs/>
        </w:rPr>
        <w:t>Kaefer and Procacci v French State (1990)</w:t>
      </w:r>
      <w:r>
        <w:t xml:space="preserve"> is an important decision of the Court of Justice of the European Communities concerning the application of EU law in French overseas departments and the ability of individuals to rely on directives against public authorities.</w:t>
      </w:r>
    </w:p>
    <w:p w14:paraId="3EFB128A" w14:textId="77777777" w:rsidR="007960D8" w:rsidRDefault="00000000" w:rsidP="007D484D">
      <w:pPr>
        <w:pStyle w:val="Heading2"/>
        <w:jc w:val="both"/>
      </w:pPr>
      <w:r>
        <w:t>Facts of the Case</w:t>
      </w:r>
    </w:p>
    <w:p w14:paraId="41030C21" w14:textId="77777777" w:rsidR="007960D8" w:rsidRDefault="00000000" w:rsidP="007D484D">
      <w:pPr>
        <w:jc w:val="both"/>
      </w:pPr>
      <w:r>
        <w:t>Mr Kaefer and Mr Procacci were wine merchants operating in French overseas departments in the Caribbean. They were prosecuted under French national rules relating to commercial and labelling practices for wine.</w:t>
      </w:r>
    </w:p>
    <w:p w14:paraId="2CF51938" w14:textId="77777777" w:rsidR="007960D8" w:rsidRDefault="00000000" w:rsidP="007D484D">
      <w:pPr>
        <w:jc w:val="both"/>
      </w:pPr>
      <w:r>
        <w:t>They argued that the relevant French legislation was incompatible with an EU directive. They claimed that France had failed to properly implement the directive and that they should therefore be able to rely directly on the directive before the national court.</w:t>
      </w:r>
    </w:p>
    <w:p w14:paraId="51D53AE8" w14:textId="77777777" w:rsidR="007960D8" w:rsidRDefault="00000000" w:rsidP="007D484D">
      <w:pPr>
        <w:pStyle w:val="Heading2"/>
        <w:jc w:val="both"/>
      </w:pPr>
      <w:r>
        <w:t>Legal Issues</w:t>
      </w:r>
    </w:p>
    <w:p w14:paraId="7C41ADA5" w14:textId="77777777" w:rsidR="007960D8" w:rsidRDefault="00000000" w:rsidP="007D484D">
      <w:pPr>
        <w:jc w:val="both"/>
      </w:pPr>
      <w:r>
        <w:t>The case raised two key legal questions:</w:t>
      </w:r>
    </w:p>
    <w:p w14:paraId="7EAF8B33" w14:textId="77777777" w:rsidR="007960D8" w:rsidRDefault="00000000" w:rsidP="007D484D">
      <w:pPr>
        <w:jc w:val="both"/>
      </w:pPr>
      <w:r>
        <w:t>1. Does EU law apply in French overseas departments in the same way as in mainland France?</w:t>
      </w:r>
    </w:p>
    <w:p w14:paraId="2F7C11E6" w14:textId="77777777" w:rsidR="007960D8" w:rsidRDefault="00000000" w:rsidP="007D484D">
      <w:pPr>
        <w:jc w:val="both"/>
      </w:pPr>
      <w:r>
        <w:t>2. Can individuals rely on a directive against public authorities in those territories if the directive has not been properly implemented?</w:t>
      </w:r>
    </w:p>
    <w:p w14:paraId="45C76D76" w14:textId="77777777" w:rsidR="007960D8" w:rsidRDefault="00000000" w:rsidP="007D484D">
      <w:pPr>
        <w:pStyle w:val="Heading2"/>
        <w:jc w:val="both"/>
      </w:pPr>
      <w:r>
        <w:t>Judgment of the Court</w:t>
      </w:r>
    </w:p>
    <w:p w14:paraId="0EBF1798" w14:textId="77777777" w:rsidR="007960D8" w:rsidRDefault="00000000" w:rsidP="007D484D">
      <w:pPr>
        <w:jc w:val="both"/>
      </w:pPr>
      <w:r>
        <w:t xml:space="preserve">The Court held that French </w:t>
      </w:r>
      <w:r w:rsidRPr="00531743">
        <w:rPr>
          <w:b/>
          <w:bCs/>
        </w:rPr>
        <w:t>overseas departments form part of the European Community</w:t>
      </w:r>
      <w:r>
        <w:t>. EU law therefore applies in those territories unless the Treaties provide for specific derogations or adaptations.</w:t>
      </w:r>
    </w:p>
    <w:p w14:paraId="53F8DFE2" w14:textId="77777777" w:rsidR="007960D8" w:rsidRDefault="00000000" w:rsidP="007D484D">
      <w:pPr>
        <w:jc w:val="both"/>
      </w:pPr>
      <w:r>
        <w:t xml:space="preserve">The Court confirmed that a </w:t>
      </w:r>
      <w:r w:rsidRPr="00531743">
        <w:rPr>
          <w:b/>
          <w:bCs/>
        </w:rPr>
        <w:t>directive which is clear, precise, and unconditional may be relied upon against the State where it has not been properly implemented</w:t>
      </w:r>
      <w:r>
        <w:t>. This includes public authorities operating in overseas departments.</w:t>
      </w:r>
    </w:p>
    <w:p w14:paraId="0DB1CDC0" w14:textId="77777777" w:rsidR="007960D8" w:rsidRDefault="00000000" w:rsidP="007D484D">
      <w:pPr>
        <w:pStyle w:val="Heading2"/>
        <w:jc w:val="both"/>
      </w:pPr>
      <w:r>
        <w:t>Effect on Overseas Territories</w:t>
      </w:r>
    </w:p>
    <w:p w14:paraId="792F00C2" w14:textId="77777777" w:rsidR="007960D8" w:rsidRDefault="00000000" w:rsidP="007D484D">
      <w:pPr>
        <w:jc w:val="both"/>
      </w:pPr>
      <w:r>
        <w:t>The decision clarified that French overseas departments such as Martinique, Guadeloupe, French Guiana, and Réunion are fully within the territorial scope of EU law.</w:t>
      </w:r>
    </w:p>
    <w:p w14:paraId="1B3D13A8" w14:textId="77777777" w:rsidR="007960D8" w:rsidRDefault="00000000" w:rsidP="007D484D">
      <w:pPr>
        <w:jc w:val="both"/>
      </w:pPr>
      <w:r>
        <w:t>As a result, individuals in those territories enjoy the same rights under EU law as individuals in mainland France. Public authorities in overseas departments are bound by EU obligations and cannot avoid the application of directives on the basis of geographical location.</w:t>
      </w:r>
    </w:p>
    <w:p w14:paraId="1127CD34" w14:textId="77777777" w:rsidR="007960D8" w:rsidRPr="00A137E3" w:rsidRDefault="00000000" w:rsidP="007D484D">
      <w:pPr>
        <w:jc w:val="both"/>
        <w:rPr>
          <w:b/>
          <w:bCs/>
        </w:rPr>
      </w:pPr>
      <w:r w:rsidRPr="00A137E3">
        <w:rPr>
          <w:b/>
          <w:bCs/>
        </w:rPr>
        <w:t>This reinforced the unity and uniform application of EU law across the entire territory of a Member State.</w:t>
      </w:r>
    </w:p>
    <w:p w14:paraId="3EF80E12" w14:textId="77777777" w:rsidR="007960D8" w:rsidRDefault="00000000" w:rsidP="007D484D">
      <w:pPr>
        <w:pStyle w:val="Heading2"/>
        <w:jc w:val="both"/>
      </w:pPr>
      <w:r>
        <w:lastRenderedPageBreak/>
        <w:t>Significance of the Case</w:t>
      </w:r>
    </w:p>
    <w:p w14:paraId="4D409BA2" w14:textId="77777777" w:rsidR="007960D8" w:rsidRDefault="00000000" w:rsidP="007D484D">
      <w:pPr>
        <w:jc w:val="both"/>
      </w:pPr>
      <w:r>
        <w:t>The case is significant because it confirms both the territorial scope of EU law and the principle that Member States cannot rely on their own failure to implement a directive to avoid obligations. It ensures equal protection of EU rights throughout all parts of a Member State, including overseas regions.</w:t>
      </w:r>
    </w:p>
    <w:sectPr w:rsidR="007960D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08555017">
    <w:abstractNumId w:val="8"/>
  </w:num>
  <w:num w:numId="2" w16cid:durableId="600449642">
    <w:abstractNumId w:val="6"/>
  </w:num>
  <w:num w:numId="3" w16cid:durableId="1905680676">
    <w:abstractNumId w:val="5"/>
  </w:num>
  <w:num w:numId="4" w16cid:durableId="1913269588">
    <w:abstractNumId w:val="4"/>
  </w:num>
  <w:num w:numId="5" w16cid:durableId="43067086">
    <w:abstractNumId w:val="7"/>
  </w:num>
  <w:num w:numId="6" w16cid:durableId="1915629302">
    <w:abstractNumId w:val="3"/>
  </w:num>
  <w:num w:numId="7" w16cid:durableId="1452896845">
    <w:abstractNumId w:val="2"/>
  </w:num>
  <w:num w:numId="8" w16cid:durableId="2082021524">
    <w:abstractNumId w:val="1"/>
  </w:num>
  <w:num w:numId="9" w16cid:durableId="1812870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68A1"/>
    <w:rsid w:val="0015074B"/>
    <w:rsid w:val="0029639D"/>
    <w:rsid w:val="00326F90"/>
    <w:rsid w:val="00531743"/>
    <w:rsid w:val="006745ED"/>
    <w:rsid w:val="00690590"/>
    <w:rsid w:val="007960D8"/>
    <w:rsid w:val="007D484D"/>
    <w:rsid w:val="00A137E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822FD4"/>
  <w14:defaultImageDpi w14:val="300"/>
  <w15:docId w15:val="{CCF914DB-EEB2-4AE0-ACD3-74E42CDD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Drastichová Magdaléna</cp:lastModifiedBy>
  <cp:revision>5</cp:revision>
  <dcterms:created xsi:type="dcterms:W3CDTF">2026-02-22T20:09:00Z</dcterms:created>
  <dcterms:modified xsi:type="dcterms:W3CDTF">2026-02-22T20:11:00Z</dcterms:modified>
  <cp:category/>
</cp:coreProperties>
</file>