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4DAF2" w14:textId="28FFDB57" w:rsidR="00D84FD5" w:rsidRPr="00D84FD5" w:rsidRDefault="00D84FD5" w:rsidP="00D84FD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84FD5">
        <w:rPr>
          <w:rFonts w:ascii="Arial" w:hAnsi="Arial" w:cs="Arial"/>
          <w:b/>
          <w:bCs/>
          <w:sz w:val="24"/>
          <w:szCs w:val="24"/>
        </w:rPr>
        <w:t>Práce ve skupinách</w:t>
      </w:r>
    </w:p>
    <w:tbl>
      <w:tblPr>
        <w:tblStyle w:val="Mkatabulky"/>
        <w:tblW w:w="9540" w:type="dxa"/>
        <w:tblInd w:w="5" w:type="dxa"/>
        <w:tblLook w:val="04A0" w:firstRow="1" w:lastRow="0" w:firstColumn="1" w:lastColumn="0" w:noHBand="0" w:noVBand="1"/>
      </w:tblPr>
      <w:tblGrid>
        <w:gridCol w:w="740"/>
        <w:gridCol w:w="8800"/>
      </w:tblGrid>
      <w:tr w:rsidR="00D84FD5" w:rsidRPr="00D84FD5" w14:paraId="0B674E53" w14:textId="77777777" w:rsidTr="00D84FD5">
        <w:trPr>
          <w:trHeight w:val="812"/>
        </w:trPr>
        <w:tc>
          <w:tcPr>
            <w:tcW w:w="740" w:type="dxa"/>
            <w:tcBorders>
              <w:top w:val="nil"/>
              <w:left w:val="nil"/>
            </w:tcBorders>
            <w:vAlign w:val="center"/>
          </w:tcPr>
          <w:p w14:paraId="171BDE80" w14:textId="77777777" w:rsidR="00D84FD5" w:rsidRPr="00D84FD5" w:rsidRDefault="00D84FD5" w:rsidP="00D84F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00" w:type="dxa"/>
            <w:shd w:val="clear" w:color="auto" w:fill="E8E8E8" w:themeFill="background2"/>
            <w:vAlign w:val="center"/>
          </w:tcPr>
          <w:p w14:paraId="23338AFA" w14:textId="01D2E3B6" w:rsidR="00D84FD5" w:rsidRPr="00D84FD5" w:rsidRDefault="00D84FD5" w:rsidP="00D84FD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4FD5">
              <w:rPr>
                <w:rFonts w:ascii="Arial" w:hAnsi="Arial" w:cs="Arial"/>
                <w:b/>
                <w:bCs/>
                <w:sz w:val="24"/>
                <w:szCs w:val="24"/>
              </w:rPr>
              <w:t>Téma</w:t>
            </w:r>
          </w:p>
        </w:tc>
      </w:tr>
      <w:tr w:rsidR="00D84FD5" w:rsidRPr="00D84FD5" w14:paraId="02F55DF6" w14:textId="77777777" w:rsidTr="00D84FD5">
        <w:trPr>
          <w:trHeight w:val="812"/>
        </w:trPr>
        <w:tc>
          <w:tcPr>
            <w:tcW w:w="740" w:type="dxa"/>
            <w:shd w:val="clear" w:color="auto" w:fill="E8E8E8" w:themeFill="background2"/>
            <w:vAlign w:val="center"/>
          </w:tcPr>
          <w:p w14:paraId="5480DF0D" w14:textId="73105AFB" w:rsidR="00D84FD5" w:rsidRPr="00D84FD5" w:rsidRDefault="00D84FD5" w:rsidP="00D84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FD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800" w:type="dxa"/>
            <w:vAlign w:val="center"/>
          </w:tcPr>
          <w:p w14:paraId="6EF9DF38" w14:textId="4671534D" w:rsidR="00D84FD5" w:rsidRPr="00D84FD5" w:rsidRDefault="00D84FD5" w:rsidP="00D84FD5">
            <w:pPr>
              <w:rPr>
                <w:rFonts w:ascii="Arial" w:hAnsi="Arial" w:cs="Arial"/>
                <w:sz w:val="24"/>
                <w:szCs w:val="24"/>
              </w:rPr>
            </w:pPr>
            <w:r w:rsidRPr="00D84FD5">
              <w:rPr>
                <w:rFonts w:ascii="Arial" w:hAnsi="Arial" w:cs="Arial"/>
                <w:sz w:val="24"/>
                <w:szCs w:val="24"/>
              </w:rPr>
              <w:t>Aplikace PESTLE analýzy při expanzi na nový trh</w:t>
            </w:r>
          </w:p>
        </w:tc>
      </w:tr>
      <w:tr w:rsidR="00D84FD5" w:rsidRPr="00D84FD5" w14:paraId="4E600846" w14:textId="77777777" w:rsidTr="00D84FD5">
        <w:trPr>
          <w:trHeight w:val="812"/>
        </w:trPr>
        <w:tc>
          <w:tcPr>
            <w:tcW w:w="740" w:type="dxa"/>
            <w:shd w:val="clear" w:color="auto" w:fill="E8E8E8" w:themeFill="background2"/>
            <w:vAlign w:val="center"/>
          </w:tcPr>
          <w:p w14:paraId="1A22482A" w14:textId="557F4DF6" w:rsidR="00D84FD5" w:rsidRPr="00D84FD5" w:rsidRDefault="00D84FD5" w:rsidP="00D84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FD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800" w:type="dxa"/>
            <w:vAlign w:val="center"/>
          </w:tcPr>
          <w:p w14:paraId="303723AA" w14:textId="71B41DA5" w:rsidR="00D84FD5" w:rsidRPr="00D84FD5" w:rsidRDefault="00D84FD5" w:rsidP="00D84FD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4FD5">
              <w:rPr>
                <w:rFonts w:ascii="Arial" w:hAnsi="Arial" w:cs="Arial"/>
                <w:sz w:val="24"/>
                <w:szCs w:val="24"/>
              </w:rPr>
              <w:t>Lean</w:t>
            </w:r>
            <w:proofErr w:type="spellEnd"/>
            <w:r w:rsidRPr="00D84FD5">
              <w:rPr>
                <w:rFonts w:ascii="Arial" w:hAnsi="Arial" w:cs="Arial"/>
                <w:sz w:val="24"/>
                <w:szCs w:val="24"/>
              </w:rPr>
              <w:t xml:space="preserve"> Management ve výrobní firmě</w:t>
            </w:r>
          </w:p>
        </w:tc>
      </w:tr>
      <w:tr w:rsidR="00D84FD5" w:rsidRPr="00D84FD5" w14:paraId="6832424D" w14:textId="77777777" w:rsidTr="00D84FD5">
        <w:trPr>
          <w:trHeight w:val="812"/>
        </w:trPr>
        <w:tc>
          <w:tcPr>
            <w:tcW w:w="740" w:type="dxa"/>
            <w:shd w:val="clear" w:color="auto" w:fill="E8E8E8" w:themeFill="background2"/>
            <w:vAlign w:val="center"/>
          </w:tcPr>
          <w:p w14:paraId="552A4543" w14:textId="0FDEBD19" w:rsidR="00D84FD5" w:rsidRPr="00D84FD5" w:rsidRDefault="00D84FD5" w:rsidP="00D84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FD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800" w:type="dxa"/>
            <w:vAlign w:val="center"/>
          </w:tcPr>
          <w:p w14:paraId="51B00164" w14:textId="74C38DC6" w:rsidR="00D84FD5" w:rsidRPr="00D84FD5" w:rsidRDefault="00D84FD5" w:rsidP="00D84FD5">
            <w:pPr>
              <w:rPr>
                <w:rFonts w:ascii="Arial" w:hAnsi="Arial" w:cs="Arial"/>
                <w:sz w:val="24"/>
                <w:szCs w:val="24"/>
              </w:rPr>
            </w:pPr>
            <w:r w:rsidRPr="00D84FD5">
              <w:rPr>
                <w:rFonts w:ascii="Arial" w:hAnsi="Arial" w:cs="Arial"/>
                <w:sz w:val="24"/>
                <w:szCs w:val="24"/>
              </w:rPr>
              <w:t xml:space="preserve">Business Model </w:t>
            </w:r>
            <w:proofErr w:type="spellStart"/>
            <w:r w:rsidRPr="00D84FD5">
              <w:rPr>
                <w:rFonts w:ascii="Arial" w:hAnsi="Arial" w:cs="Arial"/>
                <w:sz w:val="24"/>
                <w:szCs w:val="24"/>
              </w:rPr>
              <w:t>Canvas</w:t>
            </w:r>
            <w:proofErr w:type="spellEnd"/>
            <w:r w:rsidRPr="00D84FD5">
              <w:rPr>
                <w:rFonts w:ascii="Arial" w:hAnsi="Arial" w:cs="Arial"/>
                <w:sz w:val="24"/>
                <w:szCs w:val="24"/>
              </w:rPr>
              <w:t xml:space="preserve"> pro nový produkt nebo službu</w:t>
            </w:r>
          </w:p>
        </w:tc>
      </w:tr>
      <w:tr w:rsidR="00D84FD5" w:rsidRPr="00D84FD5" w14:paraId="61CA1C79" w14:textId="77777777" w:rsidTr="00D84FD5">
        <w:trPr>
          <w:trHeight w:val="812"/>
        </w:trPr>
        <w:tc>
          <w:tcPr>
            <w:tcW w:w="740" w:type="dxa"/>
            <w:shd w:val="clear" w:color="auto" w:fill="E8E8E8" w:themeFill="background2"/>
            <w:vAlign w:val="center"/>
          </w:tcPr>
          <w:p w14:paraId="6B26702B" w14:textId="6F091CAE" w:rsidR="00D84FD5" w:rsidRPr="00D84FD5" w:rsidRDefault="00D84FD5" w:rsidP="00D84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FD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800" w:type="dxa"/>
            <w:vAlign w:val="center"/>
          </w:tcPr>
          <w:p w14:paraId="3CAA068D" w14:textId="4AFFFBBA" w:rsidR="00D84FD5" w:rsidRPr="00D84FD5" w:rsidRDefault="00D84FD5" w:rsidP="00D84FD5">
            <w:pPr>
              <w:rPr>
                <w:rFonts w:ascii="Arial" w:hAnsi="Arial" w:cs="Arial"/>
                <w:sz w:val="24"/>
                <w:szCs w:val="24"/>
              </w:rPr>
            </w:pPr>
            <w:r w:rsidRPr="00D84FD5">
              <w:rPr>
                <w:rFonts w:ascii="Arial" w:hAnsi="Arial" w:cs="Arial"/>
                <w:sz w:val="24"/>
                <w:szCs w:val="24"/>
              </w:rPr>
              <w:t>EFQM model excelence pro zvýšení výkonnosti organizace</w:t>
            </w:r>
          </w:p>
        </w:tc>
      </w:tr>
      <w:tr w:rsidR="00D84FD5" w:rsidRPr="00D84FD5" w14:paraId="1D4FE6DA" w14:textId="77777777" w:rsidTr="00D84FD5">
        <w:trPr>
          <w:trHeight w:val="1672"/>
        </w:trPr>
        <w:tc>
          <w:tcPr>
            <w:tcW w:w="740" w:type="dxa"/>
            <w:shd w:val="clear" w:color="auto" w:fill="E8E8E8" w:themeFill="background2"/>
            <w:vAlign w:val="center"/>
          </w:tcPr>
          <w:p w14:paraId="21B33237" w14:textId="3B3B104E" w:rsidR="00D84FD5" w:rsidRPr="00D84FD5" w:rsidRDefault="00D84FD5" w:rsidP="00D84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FD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800" w:type="dxa"/>
            <w:vAlign w:val="center"/>
          </w:tcPr>
          <w:p w14:paraId="729A1CCD" w14:textId="32F9E26A" w:rsidR="00D84FD5" w:rsidRPr="00D84FD5" w:rsidRDefault="00D84FD5" w:rsidP="00D84FD5">
            <w:pPr>
              <w:rPr>
                <w:rFonts w:ascii="Arial" w:hAnsi="Arial" w:cs="Arial"/>
                <w:sz w:val="24"/>
                <w:szCs w:val="24"/>
              </w:rPr>
            </w:pPr>
            <w:r w:rsidRPr="00D84FD5">
              <w:rPr>
                <w:rFonts w:ascii="Arial" w:hAnsi="Arial" w:cs="Arial"/>
                <w:sz w:val="24"/>
                <w:szCs w:val="24"/>
              </w:rPr>
              <w:t xml:space="preserve">McKinsey </w:t>
            </w:r>
            <w:proofErr w:type="gramStart"/>
            <w:r w:rsidRPr="00D84FD5">
              <w:rPr>
                <w:rFonts w:ascii="Arial" w:hAnsi="Arial" w:cs="Arial"/>
                <w:sz w:val="24"/>
                <w:szCs w:val="24"/>
              </w:rPr>
              <w:t>7S</w:t>
            </w:r>
            <w:proofErr w:type="gramEnd"/>
            <w:r w:rsidRPr="00D84FD5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D84FD5">
              <w:rPr>
                <w:rFonts w:ascii="Arial" w:hAnsi="Arial" w:cs="Arial"/>
                <w:sz w:val="24"/>
                <w:szCs w:val="24"/>
              </w:rPr>
              <w:t>Strategy</w:t>
            </w:r>
            <w:proofErr w:type="spellEnd"/>
            <w:r w:rsidRPr="00D84FD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84FD5">
              <w:rPr>
                <w:rFonts w:ascii="Arial" w:hAnsi="Arial" w:cs="Arial"/>
                <w:sz w:val="24"/>
                <w:szCs w:val="24"/>
              </w:rPr>
              <w:t>Structure</w:t>
            </w:r>
            <w:proofErr w:type="spellEnd"/>
            <w:r w:rsidRPr="00D84FD5">
              <w:rPr>
                <w:rFonts w:ascii="Arial" w:hAnsi="Arial" w:cs="Arial"/>
                <w:sz w:val="24"/>
                <w:szCs w:val="24"/>
              </w:rPr>
              <w:t xml:space="preserve">, Systems, </w:t>
            </w:r>
            <w:proofErr w:type="spellStart"/>
            <w:r w:rsidRPr="00D84FD5">
              <w:rPr>
                <w:rFonts w:ascii="Arial" w:hAnsi="Arial" w:cs="Arial"/>
                <w:sz w:val="24"/>
                <w:szCs w:val="24"/>
              </w:rPr>
              <w:t>Shared</w:t>
            </w:r>
            <w:proofErr w:type="spellEnd"/>
            <w:r w:rsidRPr="00D84F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4FD5">
              <w:rPr>
                <w:rFonts w:ascii="Arial" w:hAnsi="Arial" w:cs="Arial"/>
                <w:sz w:val="24"/>
                <w:szCs w:val="24"/>
              </w:rPr>
              <w:t>Values</w:t>
            </w:r>
            <w:proofErr w:type="spellEnd"/>
            <w:r w:rsidRPr="00D84FD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84FD5">
              <w:rPr>
                <w:rFonts w:ascii="Arial" w:hAnsi="Arial" w:cs="Arial"/>
                <w:sz w:val="24"/>
                <w:szCs w:val="24"/>
              </w:rPr>
              <w:t>Skills</w:t>
            </w:r>
            <w:proofErr w:type="spellEnd"/>
            <w:r w:rsidRPr="00D84FD5">
              <w:rPr>
                <w:rFonts w:ascii="Arial" w:hAnsi="Arial" w:cs="Arial"/>
                <w:sz w:val="24"/>
                <w:szCs w:val="24"/>
              </w:rPr>
              <w:t xml:space="preserve">, Style, </w:t>
            </w:r>
            <w:proofErr w:type="spellStart"/>
            <w:r w:rsidRPr="00D84FD5">
              <w:rPr>
                <w:rFonts w:ascii="Arial" w:hAnsi="Arial" w:cs="Arial"/>
                <w:sz w:val="24"/>
                <w:szCs w:val="24"/>
              </w:rPr>
              <w:t>Staff</w:t>
            </w:r>
            <w:proofErr w:type="spellEnd"/>
            <w:r w:rsidRPr="00D84FD5">
              <w:rPr>
                <w:rFonts w:ascii="Arial" w:hAnsi="Arial" w:cs="Arial"/>
                <w:sz w:val="24"/>
                <w:szCs w:val="24"/>
              </w:rPr>
              <w:t>) při reorganizaci firmy</w:t>
            </w:r>
          </w:p>
        </w:tc>
      </w:tr>
      <w:tr w:rsidR="00D84FD5" w:rsidRPr="00D84FD5" w14:paraId="499FF0DC" w14:textId="77777777" w:rsidTr="00D84FD5">
        <w:trPr>
          <w:trHeight w:val="812"/>
        </w:trPr>
        <w:tc>
          <w:tcPr>
            <w:tcW w:w="740" w:type="dxa"/>
            <w:shd w:val="clear" w:color="auto" w:fill="E8E8E8" w:themeFill="background2"/>
            <w:vAlign w:val="center"/>
          </w:tcPr>
          <w:p w14:paraId="1D57EEC6" w14:textId="63ED5FDE" w:rsidR="00D84FD5" w:rsidRPr="00D84FD5" w:rsidRDefault="00D84FD5" w:rsidP="00D84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FD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800" w:type="dxa"/>
            <w:vAlign w:val="center"/>
          </w:tcPr>
          <w:p w14:paraId="516FD089" w14:textId="1418572A" w:rsidR="00D84FD5" w:rsidRPr="00D84FD5" w:rsidRDefault="00D84FD5" w:rsidP="00D84FD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4FD5">
              <w:rPr>
                <w:rFonts w:ascii="Arial" w:hAnsi="Arial" w:cs="Arial"/>
                <w:sz w:val="24"/>
                <w:szCs w:val="24"/>
              </w:rPr>
              <w:t>Porterova</w:t>
            </w:r>
            <w:proofErr w:type="spellEnd"/>
            <w:r w:rsidRPr="00D84FD5">
              <w:rPr>
                <w:rFonts w:ascii="Arial" w:hAnsi="Arial" w:cs="Arial"/>
                <w:sz w:val="24"/>
                <w:szCs w:val="24"/>
              </w:rPr>
              <w:t xml:space="preserve"> analýza pěti sil a konkurenční prostředí</w:t>
            </w:r>
          </w:p>
        </w:tc>
      </w:tr>
      <w:tr w:rsidR="00D84FD5" w:rsidRPr="00D84FD5" w14:paraId="0DA7B19F" w14:textId="77777777" w:rsidTr="00D84FD5">
        <w:trPr>
          <w:trHeight w:val="812"/>
        </w:trPr>
        <w:tc>
          <w:tcPr>
            <w:tcW w:w="740" w:type="dxa"/>
            <w:shd w:val="clear" w:color="auto" w:fill="E8E8E8" w:themeFill="background2"/>
            <w:vAlign w:val="center"/>
          </w:tcPr>
          <w:p w14:paraId="17E800A4" w14:textId="2483B831" w:rsidR="00D84FD5" w:rsidRPr="00D84FD5" w:rsidRDefault="00D84FD5" w:rsidP="00D84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FD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800" w:type="dxa"/>
            <w:vAlign w:val="center"/>
          </w:tcPr>
          <w:p w14:paraId="3A6D4974" w14:textId="5436FF8B" w:rsidR="00D84FD5" w:rsidRPr="00D84FD5" w:rsidRDefault="00D84FD5" w:rsidP="00D84FD5">
            <w:pPr>
              <w:rPr>
                <w:rFonts w:ascii="Arial" w:hAnsi="Arial" w:cs="Arial"/>
                <w:sz w:val="24"/>
                <w:szCs w:val="24"/>
              </w:rPr>
            </w:pPr>
            <w:r w:rsidRPr="00D84FD5">
              <w:rPr>
                <w:rFonts w:ascii="Arial" w:hAnsi="Arial" w:cs="Arial"/>
                <w:sz w:val="24"/>
                <w:szCs w:val="24"/>
              </w:rPr>
              <w:t>VRIO analýza (</w:t>
            </w:r>
            <w:proofErr w:type="spellStart"/>
            <w:r w:rsidRPr="00D84FD5">
              <w:rPr>
                <w:rFonts w:ascii="Arial" w:hAnsi="Arial" w:cs="Arial"/>
                <w:sz w:val="24"/>
                <w:szCs w:val="24"/>
              </w:rPr>
              <w:t>Value</w:t>
            </w:r>
            <w:proofErr w:type="spellEnd"/>
            <w:r w:rsidRPr="00D84FD5">
              <w:rPr>
                <w:rFonts w:ascii="Arial" w:hAnsi="Arial" w:cs="Arial"/>
                <w:sz w:val="24"/>
                <w:szCs w:val="24"/>
              </w:rPr>
              <w:t xml:space="preserve">, Rarity, </w:t>
            </w:r>
            <w:proofErr w:type="spellStart"/>
            <w:r w:rsidRPr="00D84FD5">
              <w:rPr>
                <w:rFonts w:ascii="Arial" w:hAnsi="Arial" w:cs="Arial"/>
                <w:sz w:val="24"/>
                <w:szCs w:val="24"/>
              </w:rPr>
              <w:t>Imitability</w:t>
            </w:r>
            <w:proofErr w:type="spellEnd"/>
            <w:r w:rsidRPr="00D84FD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84FD5">
              <w:rPr>
                <w:rFonts w:ascii="Arial" w:hAnsi="Arial" w:cs="Arial"/>
                <w:sz w:val="24"/>
                <w:szCs w:val="24"/>
              </w:rPr>
              <w:t>Organization</w:t>
            </w:r>
            <w:proofErr w:type="spellEnd"/>
            <w:r w:rsidRPr="00D84FD5">
              <w:rPr>
                <w:rFonts w:ascii="Arial" w:hAnsi="Arial" w:cs="Arial"/>
                <w:sz w:val="24"/>
                <w:szCs w:val="24"/>
              </w:rPr>
              <w:t>) a konkurenční výhoda</w:t>
            </w:r>
          </w:p>
        </w:tc>
      </w:tr>
      <w:tr w:rsidR="00D84FD5" w:rsidRPr="00D84FD5" w14:paraId="57FCDEEF" w14:textId="77777777" w:rsidTr="00D84FD5">
        <w:trPr>
          <w:trHeight w:val="812"/>
        </w:trPr>
        <w:tc>
          <w:tcPr>
            <w:tcW w:w="740" w:type="dxa"/>
            <w:shd w:val="clear" w:color="auto" w:fill="E8E8E8" w:themeFill="background2"/>
            <w:vAlign w:val="center"/>
          </w:tcPr>
          <w:p w14:paraId="7555E95D" w14:textId="6C3E02E5" w:rsidR="00D84FD5" w:rsidRPr="00D84FD5" w:rsidRDefault="00D84FD5" w:rsidP="00D84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FD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800" w:type="dxa"/>
            <w:vAlign w:val="center"/>
          </w:tcPr>
          <w:p w14:paraId="7BE6955C" w14:textId="2C1C4CA9" w:rsidR="00D84FD5" w:rsidRPr="00D84FD5" w:rsidRDefault="00D84FD5" w:rsidP="00D84FD5">
            <w:pPr>
              <w:rPr>
                <w:rFonts w:ascii="Arial" w:hAnsi="Arial" w:cs="Arial"/>
                <w:sz w:val="24"/>
                <w:szCs w:val="24"/>
              </w:rPr>
            </w:pPr>
            <w:r w:rsidRPr="00D84FD5">
              <w:rPr>
                <w:rFonts w:ascii="Arial" w:hAnsi="Arial" w:cs="Arial"/>
                <w:sz w:val="24"/>
                <w:szCs w:val="24"/>
              </w:rPr>
              <w:t xml:space="preserve">Blue </w:t>
            </w:r>
            <w:proofErr w:type="spellStart"/>
            <w:r w:rsidRPr="00D84FD5">
              <w:rPr>
                <w:rFonts w:ascii="Arial" w:hAnsi="Arial" w:cs="Arial"/>
                <w:sz w:val="24"/>
                <w:szCs w:val="24"/>
              </w:rPr>
              <w:t>Ocean</w:t>
            </w:r>
            <w:proofErr w:type="spellEnd"/>
            <w:r w:rsidRPr="00D84F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4FD5">
              <w:rPr>
                <w:rFonts w:ascii="Arial" w:hAnsi="Arial" w:cs="Arial"/>
                <w:sz w:val="24"/>
                <w:szCs w:val="24"/>
              </w:rPr>
              <w:t>Strategy</w:t>
            </w:r>
            <w:proofErr w:type="spellEnd"/>
            <w:r w:rsidRPr="00D84FD5">
              <w:rPr>
                <w:rFonts w:ascii="Arial" w:hAnsi="Arial" w:cs="Arial"/>
                <w:sz w:val="24"/>
                <w:szCs w:val="24"/>
              </w:rPr>
              <w:t xml:space="preserve"> v hledání nového tržního prostoru</w:t>
            </w:r>
          </w:p>
        </w:tc>
      </w:tr>
      <w:tr w:rsidR="00D84FD5" w:rsidRPr="00D84FD5" w14:paraId="5F63CC40" w14:textId="77777777" w:rsidTr="00D84FD5">
        <w:trPr>
          <w:trHeight w:val="812"/>
        </w:trPr>
        <w:tc>
          <w:tcPr>
            <w:tcW w:w="740" w:type="dxa"/>
            <w:shd w:val="clear" w:color="auto" w:fill="E8E8E8" w:themeFill="background2"/>
            <w:vAlign w:val="center"/>
          </w:tcPr>
          <w:p w14:paraId="6443598D" w14:textId="129FAB5D" w:rsidR="00D84FD5" w:rsidRPr="00D84FD5" w:rsidRDefault="00D84FD5" w:rsidP="00D84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FD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800" w:type="dxa"/>
            <w:vAlign w:val="center"/>
          </w:tcPr>
          <w:p w14:paraId="06CF7262" w14:textId="2AFC520B" w:rsidR="00D84FD5" w:rsidRPr="00D84FD5" w:rsidRDefault="00D84FD5" w:rsidP="00D84FD5">
            <w:pPr>
              <w:rPr>
                <w:rFonts w:ascii="Arial" w:hAnsi="Arial" w:cs="Arial"/>
                <w:sz w:val="24"/>
                <w:szCs w:val="24"/>
              </w:rPr>
            </w:pPr>
            <w:r w:rsidRPr="00D84FD5">
              <w:rPr>
                <w:rFonts w:ascii="Arial" w:hAnsi="Arial" w:cs="Arial"/>
                <w:sz w:val="24"/>
                <w:szCs w:val="24"/>
              </w:rPr>
              <w:t>Digital Marketing a měření návratnosti investic (ROI)</w:t>
            </w:r>
          </w:p>
        </w:tc>
      </w:tr>
      <w:tr w:rsidR="00D84FD5" w:rsidRPr="00D84FD5" w14:paraId="44B20D93" w14:textId="77777777" w:rsidTr="00D84FD5">
        <w:trPr>
          <w:trHeight w:val="812"/>
        </w:trPr>
        <w:tc>
          <w:tcPr>
            <w:tcW w:w="740" w:type="dxa"/>
            <w:shd w:val="clear" w:color="auto" w:fill="E8E8E8" w:themeFill="background2"/>
            <w:vAlign w:val="center"/>
          </w:tcPr>
          <w:p w14:paraId="6BE886F7" w14:textId="3B14281E" w:rsidR="00D84FD5" w:rsidRPr="00D84FD5" w:rsidRDefault="00D84FD5" w:rsidP="00D84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FD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800" w:type="dxa"/>
            <w:vAlign w:val="center"/>
          </w:tcPr>
          <w:p w14:paraId="528EA08C" w14:textId="6265D352" w:rsidR="00D84FD5" w:rsidRPr="00D84FD5" w:rsidRDefault="00D84FD5" w:rsidP="00D84FD5">
            <w:pPr>
              <w:tabs>
                <w:tab w:val="left" w:pos="5325"/>
              </w:tabs>
              <w:rPr>
                <w:rFonts w:ascii="Arial" w:hAnsi="Arial" w:cs="Arial"/>
                <w:sz w:val="24"/>
                <w:szCs w:val="24"/>
              </w:rPr>
            </w:pPr>
            <w:r w:rsidRPr="00D84FD5">
              <w:rPr>
                <w:rFonts w:ascii="Arial" w:hAnsi="Arial" w:cs="Arial"/>
                <w:sz w:val="24"/>
                <w:szCs w:val="24"/>
              </w:rPr>
              <w:t>CSR (</w:t>
            </w:r>
            <w:proofErr w:type="spellStart"/>
            <w:r w:rsidRPr="00D84FD5">
              <w:rPr>
                <w:rFonts w:ascii="Arial" w:hAnsi="Arial" w:cs="Arial"/>
                <w:sz w:val="24"/>
                <w:szCs w:val="24"/>
              </w:rPr>
              <w:t>Corporate</w:t>
            </w:r>
            <w:proofErr w:type="spellEnd"/>
            <w:r w:rsidRPr="00D84F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4FD5">
              <w:rPr>
                <w:rFonts w:ascii="Arial" w:hAnsi="Arial" w:cs="Arial"/>
                <w:sz w:val="24"/>
                <w:szCs w:val="24"/>
              </w:rPr>
              <w:t>Social</w:t>
            </w:r>
            <w:proofErr w:type="spellEnd"/>
            <w:r w:rsidRPr="00D84F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4FD5">
              <w:rPr>
                <w:rFonts w:ascii="Arial" w:hAnsi="Arial" w:cs="Arial"/>
                <w:sz w:val="24"/>
                <w:szCs w:val="24"/>
              </w:rPr>
              <w:t>Responsibility</w:t>
            </w:r>
            <w:proofErr w:type="spellEnd"/>
            <w:r w:rsidRPr="00D84FD5">
              <w:rPr>
                <w:rFonts w:ascii="Arial" w:hAnsi="Arial" w:cs="Arial"/>
                <w:sz w:val="24"/>
                <w:szCs w:val="24"/>
              </w:rPr>
              <w:t>) a její vliv na reputaci firmy</w:t>
            </w:r>
          </w:p>
        </w:tc>
      </w:tr>
      <w:tr w:rsidR="00D84FD5" w:rsidRPr="00D84FD5" w14:paraId="4A8196EE" w14:textId="77777777" w:rsidTr="00D84FD5">
        <w:trPr>
          <w:trHeight w:val="812"/>
        </w:trPr>
        <w:tc>
          <w:tcPr>
            <w:tcW w:w="740" w:type="dxa"/>
            <w:shd w:val="clear" w:color="auto" w:fill="E8E8E8" w:themeFill="background2"/>
            <w:vAlign w:val="center"/>
          </w:tcPr>
          <w:p w14:paraId="3D5E218D" w14:textId="43600612" w:rsidR="00D84FD5" w:rsidRPr="00D84FD5" w:rsidRDefault="00D84FD5" w:rsidP="00D84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FD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800" w:type="dxa"/>
            <w:vAlign w:val="center"/>
          </w:tcPr>
          <w:p w14:paraId="5F39E135" w14:textId="274457C7" w:rsidR="00D84FD5" w:rsidRPr="00D84FD5" w:rsidRDefault="00D84FD5" w:rsidP="00D84FD5">
            <w:pPr>
              <w:rPr>
                <w:rFonts w:ascii="Arial" w:hAnsi="Arial" w:cs="Arial"/>
                <w:sz w:val="24"/>
                <w:szCs w:val="24"/>
              </w:rPr>
            </w:pPr>
            <w:r w:rsidRPr="00D84FD5">
              <w:rPr>
                <w:rFonts w:ascii="Arial" w:hAnsi="Arial" w:cs="Arial"/>
                <w:sz w:val="24"/>
                <w:szCs w:val="24"/>
              </w:rPr>
              <w:t>ESG (</w:t>
            </w:r>
            <w:proofErr w:type="spellStart"/>
            <w:r w:rsidRPr="00D84FD5">
              <w:rPr>
                <w:rFonts w:ascii="Arial" w:hAnsi="Arial" w:cs="Arial"/>
                <w:sz w:val="24"/>
                <w:szCs w:val="24"/>
              </w:rPr>
              <w:t>Environmental</w:t>
            </w:r>
            <w:proofErr w:type="spellEnd"/>
            <w:r w:rsidRPr="00D84FD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84FD5">
              <w:rPr>
                <w:rFonts w:ascii="Arial" w:hAnsi="Arial" w:cs="Arial"/>
                <w:sz w:val="24"/>
                <w:szCs w:val="24"/>
              </w:rPr>
              <w:t>Social</w:t>
            </w:r>
            <w:proofErr w:type="spellEnd"/>
            <w:r w:rsidRPr="00D84FD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D84FD5">
              <w:rPr>
                <w:rFonts w:ascii="Arial" w:hAnsi="Arial" w:cs="Arial"/>
                <w:sz w:val="24"/>
                <w:szCs w:val="24"/>
              </w:rPr>
              <w:t>Governance</w:t>
            </w:r>
            <w:proofErr w:type="spellEnd"/>
            <w:r w:rsidRPr="00D84FD5">
              <w:rPr>
                <w:rFonts w:ascii="Arial" w:hAnsi="Arial" w:cs="Arial"/>
                <w:sz w:val="24"/>
                <w:szCs w:val="24"/>
              </w:rPr>
              <w:t>) a jeho dopad na strategii firmy</w:t>
            </w:r>
          </w:p>
        </w:tc>
      </w:tr>
      <w:tr w:rsidR="00D84FD5" w:rsidRPr="00D84FD5" w14:paraId="61AF89A6" w14:textId="77777777" w:rsidTr="00D84FD5">
        <w:trPr>
          <w:trHeight w:val="812"/>
        </w:trPr>
        <w:tc>
          <w:tcPr>
            <w:tcW w:w="740" w:type="dxa"/>
            <w:shd w:val="clear" w:color="auto" w:fill="E8E8E8" w:themeFill="background2"/>
            <w:vAlign w:val="center"/>
          </w:tcPr>
          <w:p w14:paraId="0EA052B4" w14:textId="166B3CCF" w:rsidR="00D84FD5" w:rsidRPr="00D84FD5" w:rsidRDefault="00D84FD5" w:rsidP="00D84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FD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800" w:type="dxa"/>
            <w:vAlign w:val="center"/>
          </w:tcPr>
          <w:p w14:paraId="3791712C" w14:textId="7D00ABAB" w:rsidR="00D84FD5" w:rsidRPr="00D84FD5" w:rsidRDefault="00D84FD5" w:rsidP="00D84FD5">
            <w:pPr>
              <w:rPr>
                <w:rFonts w:ascii="Arial" w:hAnsi="Arial" w:cs="Arial"/>
                <w:sz w:val="24"/>
                <w:szCs w:val="24"/>
              </w:rPr>
            </w:pPr>
            <w:r w:rsidRPr="00D84FD5">
              <w:rPr>
                <w:rFonts w:ascii="Arial" w:hAnsi="Arial" w:cs="Arial"/>
                <w:sz w:val="24"/>
                <w:szCs w:val="24"/>
              </w:rPr>
              <w:t>Vliv monetární politiky na podnikové prostředí</w:t>
            </w:r>
          </w:p>
        </w:tc>
      </w:tr>
      <w:tr w:rsidR="00D84FD5" w:rsidRPr="00D84FD5" w14:paraId="1AC76D07" w14:textId="77777777" w:rsidTr="00D84FD5">
        <w:trPr>
          <w:trHeight w:val="812"/>
        </w:trPr>
        <w:tc>
          <w:tcPr>
            <w:tcW w:w="740" w:type="dxa"/>
            <w:shd w:val="clear" w:color="auto" w:fill="E8E8E8" w:themeFill="background2"/>
            <w:vAlign w:val="center"/>
          </w:tcPr>
          <w:p w14:paraId="4EC9AAA4" w14:textId="11D00181" w:rsidR="00D84FD5" w:rsidRPr="00D84FD5" w:rsidRDefault="00D84FD5" w:rsidP="00D84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FD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800" w:type="dxa"/>
            <w:vAlign w:val="center"/>
          </w:tcPr>
          <w:p w14:paraId="29A42FB8" w14:textId="75A93668" w:rsidR="00D84FD5" w:rsidRPr="00D84FD5" w:rsidRDefault="00D84FD5" w:rsidP="00D84FD5">
            <w:pPr>
              <w:rPr>
                <w:rFonts w:ascii="Arial" w:hAnsi="Arial" w:cs="Arial"/>
                <w:sz w:val="24"/>
                <w:szCs w:val="24"/>
              </w:rPr>
            </w:pPr>
            <w:r w:rsidRPr="00D84FD5">
              <w:rPr>
                <w:rFonts w:ascii="Arial" w:hAnsi="Arial" w:cs="Arial"/>
                <w:sz w:val="24"/>
                <w:szCs w:val="24"/>
              </w:rPr>
              <w:t>Dopad fiskální politiky na podnikání a spotřebitelské chování</w:t>
            </w:r>
          </w:p>
        </w:tc>
      </w:tr>
      <w:tr w:rsidR="00D84FD5" w:rsidRPr="00D84FD5" w14:paraId="558249D7" w14:textId="77777777" w:rsidTr="00D84FD5">
        <w:trPr>
          <w:trHeight w:val="812"/>
        </w:trPr>
        <w:tc>
          <w:tcPr>
            <w:tcW w:w="740" w:type="dxa"/>
            <w:shd w:val="clear" w:color="auto" w:fill="E8E8E8" w:themeFill="background2"/>
            <w:vAlign w:val="center"/>
          </w:tcPr>
          <w:p w14:paraId="764C9A76" w14:textId="75241523" w:rsidR="00D84FD5" w:rsidRPr="00D84FD5" w:rsidRDefault="00D84FD5" w:rsidP="00D84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4FD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800" w:type="dxa"/>
            <w:vAlign w:val="center"/>
          </w:tcPr>
          <w:p w14:paraId="73CE899D" w14:textId="3D1D7CEC" w:rsidR="00D84FD5" w:rsidRPr="00D84FD5" w:rsidRDefault="00D84FD5" w:rsidP="00D84FD5">
            <w:pPr>
              <w:rPr>
                <w:rFonts w:ascii="Arial" w:hAnsi="Arial" w:cs="Arial"/>
                <w:sz w:val="24"/>
                <w:szCs w:val="24"/>
              </w:rPr>
            </w:pPr>
            <w:r w:rsidRPr="00D84FD5">
              <w:rPr>
                <w:rFonts w:ascii="Arial" w:hAnsi="Arial" w:cs="Arial"/>
                <w:sz w:val="24"/>
                <w:szCs w:val="24"/>
              </w:rPr>
              <w:t>Interakce monetární a fiskální politiky a její vliv na hospodářský cyklus</w:t>
            </w:r>
          </w:p>
        </w:tc>
      </w:tr>
    </w:tbl>
    <w:p w14:paraId="0762BA5B" w14:textId="77777777" w:rsidR="00D84FD5" w:rsidRPr="00D84FD5" w:rsidRDefault="00D84FD5" w:rsidP="00D84FD5">
      <w:pPr>
        <w:jc w:val="center"/>
        <w:rPr>
          <w:rFonts w:ascii="Arial" w:hAnsi="Arial" w:cs="Arial"/>
          <w:sz w:val="24"/>
          <w:szCs w:val="24"/>
        </w:rPr>
      </w:pPr>
    </w:p>
    <w:sectPr w:rsidR="00D84FD5" w:rsidRPr="00D84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F0274"/>
    <w:multiLevelType w:val="hybridMultilevel"/>
    <w:tmpl w:val="0AA25FCA"/>
    <w:lvl w:ilvl="0" w:tplc="EA8226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557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D5"/>
    <w:rsid w:val="001629CD"/>
    <w:rsid w:val="00202097"/>
    <w:rsid w:val="00884411"/>
    <w:rsid w:val="008E4A51"/>
    <w:rsid w:val="009064CF"/>
    <w:rsid w:val="00A34320"/>
    <w:rsid w:val="00C556F6"/>
    <w:rsid w:val="00D32560"/>
    <w:rsid w:val="00D84FD5"/>
    <w:rsid w:val="00E5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23803"/>
  <w15:chartTrackingRefBased/>
  <w15:docId w15:val="{60E92634-9935-4AF4-A900-C7AD62D5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4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4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4F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4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4F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4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4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4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4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4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4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4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4F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4F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4F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4F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4F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4F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4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4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4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4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4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4F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4F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4F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4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4F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4FD5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84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790</Characters>
  <Application>Microsoft Office Word</Application>
  <DocSecurity>0</DocSecurity>
  <Lines>6</Lines>
  <Paragraphs>1</Paragraphs>
  <ScaleCrop>false</ScaleCrop>
  <Company>MVSO.CZ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Škrabal Jaroslav</dc:creator>
  <cp:keywords/>
  <dc:description/>
  <cp:lastModifiedBy>Škrabal Jaroslav</cp:lastModifiedBy>
  <cp:revision>1</cp:revision>
  <dcterms:created xsi:type="dcterms:W3CDTF">2025-02-26T08:17:00Z</dcterms:created>
  <dcterms:modified xsi:type="dcterms:W3CDTF">2025-02-26T08:24:00Z</dcterms:modified>
</cp:coreProperties>
</file>