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DAF2" w14:textId="28FFDB57" w:rsidR="00D84FD5" w:rsidRPr="00D84FD5" w:rsidRDefault="00D84FD5" w:rsidP="00D84F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4FD5">
        <w:rPr>
          <w:rFonts w:ascii="Arial" w:hAnsi="Arial" w:cs="Arial"/>
          <w:b/>
          <w:bCs/>
          <w:sz w:val="24"/>
          <w:szCs w:val="24"/>
        </w:rPr>
        <w:t>Práce ve skupinách</w:t>
      </w:r>
    </w:p>
    <w:tbl>
      <w:tblPr>
        <w:tblStyle w:val="Mkatabulky"/>
        <w:tblW w:w="9540" w:type="dxa"/>
        <w:tblInd w:w="5" w:type="dxa"/>
        <w:tblLook w:val="04A0" w:firstRow="1" w:lastRow="0" w:firstColumn="1" w:lastColumn="0" w:noHBand="0" w:noVBand="1"/>
      </w:tblPr>
      <w:tblGrid>
        <w:gridCol w:w="740"/>
        <w:gridCol w:w="8800"/>
      </w:tblGrid>
      <w:tr w:rsidR="00D84FD5" w:rsidRPr="00D84FD5" w14:paraId="0B674E53" w14:textId="77777777" w:rsidTr="00D84FD5">
        <w:trPr>
          <w:trHeight w:val="812"/>
        </w:trPr>
        <w:tc>
          <w:tcPr>
            <w:tcW w:w="740" w:type="dxa"/>
            <w:tcBorders>
              <w:top w:val="nil"/>
              <w:left w:val="nil"/>
            </w:tcBorders>
            <w:vAlign w:val="center"/>
          </w:tcPr>
          <w:p w14:paraId="171BDE80" w14:textId="77777777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0" w:type="dxa"/>
            <w:shd w:val="clear" w:color="auto" w:fill="E8E8E8" w:themeFill="background2"/>
            <w:vAlign w:val="center"/>
          </w:tcPr>
          <w:p w14:paraId="23338AFA" w14:textId="01D2E3B6" w:rsidR="00D84FD5" w:rsidRPr="00D84FD5" w:rsidRDefault="00D84FD5" w:rsidP="00D84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FD5">
              <w:rPr>
                <w:rFonts w:ascii="Arial" w:hAnsi="Arial" w:cs="Arial"/>
                <w:b/>
                <w:bCs/>
                <w:sz w:val="24"/>
                <w:szCs w:val="24"/>
              </w:rPr>
              <w:t>Téma</w:t>
            </w:r>
          </w:p>
        </w:tc>
      </w:tr>
      <w:tr w:rsidR="00D84FD5" w:rsidRPr="00D84FD5" w14:paraId="02F55DF6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5480DF0D" w14:textId="73105AFB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00" w:type="dxa"/>
            <w:vAlign w:val="center"/>
          </w:tcPr>
          <w:p w14:paraId="6EF9DF38" w14:textId="4671534D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Aplikace PESTLE analýzy při expanzi na nový trh</w:t>
            </w:r>
          </w:p>
        </w:tc>
      </w:tr>
      <w:tr w:rsidR="00D84FD5" w:rsidRPr="00D84FD5" w14:paraId="4E600846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1A22482A" w14:textId="557F4DF6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00" w:type="dxa"/>
            <w:vAlign w:val="center"/>
          </w:tcPr>
          <w:p w14:paraId="303723AA" w14:textId="71B41DA5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Lean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 Management ve výrobní firmě</w:t>
            </w:r>
          </w:p>
        </w:tc>
      </w:tr>
      <w:tr w:rsidR="00D84FD5" w:rsidRPr="00D84FD5" w14:paraId="6832424D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552A4543" w14:textId="0FDEBD19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00" w:type="dxa"/>
            <w:vAlign w:val="center"/>
          </w:tcPr>
          <w:p w14:paraId="51B00164" w14:textId="74C38DC6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 xml:space="preserve">Business Model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Canvas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 pro nový produkt nebo službu</w:t>
            </w:r>
          </w:p>
        </w:tc>
      </w:tr>
      <w:tr w:rsidR="00D84FD5" w:rsidRPr="00D84FD5" w14:paraId="61CA1C79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6B26702B" w14:textId="6F091CAE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00" w:type="dxa"/>
            <w:vAlign w:val="center"/>
          </w:tcPr>
          <w:p w14:paraId="3CAA068D" w14:textId="4AFFFBBA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EFQM model excelence pro zvýšení výkonnosti organizace</w:t>
            </w:r>
          </w:p>
        </w:tc>
      </w:tr>
      <w:tr w:rsidR="00D84FD5" w:rsidRPr="00D84FD5" w14:paraId="1D4FE6DA" w14:textId="77777777" w:rsidTr="00D84FD5">
        <w:trPr>
          <w:trHeight w:val="1672"/>
        </w:trPr>
        <w:tc>
          <w:tcPr>
            <w:tcW w:w="740" w:type="dxa"/>
            <w:shd w:val="clear" w:color="auto" w:fill="E8E8E8" w:themeFill="background2"/>
            <w:vAlign w:val="center"/>
          </w:tcPr>
          <w:p w14:paraId="21B33237" w14:textId="3B3B104E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00" w:type="dxa"/>
            <w:vAlign w:val="center"/>
          </w:tcPr>
          <w:p w14:paraId="729A1CCD" w14:textId="32F9E26A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 xml:space="preserve">McKinsey </w:t>
            </w:r>
            <w:proofErr w:type="gramStart"/>
            <w:r w:rsidRPr="00D84FD5">
              <w:rPr>
                <w:rFonts w:ascii="Arial" w:hAnsi="Arial" w:cs="Arial"/>
                <w:sz w:val="24"/>
                <w:szCs w:val="24"/>
              </w:rPr>
              <w:t>7S</w:t>
            </w:r>
            <w:proofErr w:type="gramEnd"/>
            <w:r w:rsidRPr="00D84FD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Strategy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Structure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, Systems,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Shared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Values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Skills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, Style,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Staff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>) při reorganizaci firmy</w:t>
            </w:r>
          </w:p>
        </w:tc>
      </w:tr>
      <w:tr w:rsidR="00D84FD5" w:rsidRPr="00D84FD5" w14:paraId="499FF0DC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1D57EEC6" w14:textId="63ED5FDE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00" w:type="dxa"/>
            <w:vAlign w:val="center"/>
          </w:tcPr>
          <w:p w14:paraId="516FD089" w14:textId="1418572A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Porterova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 analýza pěti sil a konkurenční prostředí</w:t>
            </w:r>
          </w:p>
        </w:tc>
      </w:tr>
      <w:tr w:rsidR="00D84FD5" w:rsidRPr="00D84FD5" w14:paraId="0DA7B19F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17E800A4" w14:textId="2483B831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00" w:type="dxa"/>
            <w:vAlign w:val="center"/>
          </w:tcPr>
          <w:p w14:paraId="3A6D4974" w14:textId="5436FF8B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VRIO analýza (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Value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, Rarity,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Imitability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Organization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>) a konkurenční výhoda</w:t>
            </w:r>
          </w:p>
        </w:tc>
      </w:tr>
      <w:tr w:rsidR="00D84FD5" w:rsidRPr="00D84FD5" w14:paraId="57FCDEEF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7555E95D" w14:textId="6C3E02E5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00" w:type="dxa"/>
            <w:vAlign w:val="center"/>
          </w:tcPr>
          <w:p w14:paraId="7BE6955C" w14:textId="2C1C4CA9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 xml:space="preserve">Blue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Ocean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Strategy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 v hledání nového tržního prostoru</w:t>
            </w:r>
          </w:p>
        </w:tc>
      </w:tr>
      <w:tr w:rsidR="00D84FD5" w:rsidRPr="00D84FD5" w14:paraId="5F63CC40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6443598D" w14:textId="129FAB5D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00" w:type="dxa"/>
            <w:vAlign w:val="center"/>
          </w:tcPr>
          <w:p w14:paraId="06CF7262" w14:textId="2AFC520B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Digital Marketing a měření návratnosti investic (ROI)</w:t>
            </w:r>
          </w:p>
        </w:tc>
      </w:tr>
      <w:tr w:rsidR="00D84FD5" w:rsidRPr="00D84FD5" w14:paraId="44B20D93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6BE886F7" w14:textId="3B14281E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0" w:type="dxa"/>
            <w:vAlign w:val="center"/>
          </w:tcPr>
          <w:p w14:paraId="528EA08C" w14:textId="6265D352" w:rsidR="00D84FD5" w:rsidRPr="00D84FD5" w:rsidRDefault="00D84FD5" w:rsidP="00D84FD5">
            <w:pPr>
              <w:tabs>
                <w:tab w:val="left" w:pos="5325"/>
              </w:tabs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CSR (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Corporate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Social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Responsibility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>) a její vliv na reputaci firmy</w:t>
            </w:r>
          </w:p>
        </w:tc>
      </w:tr>
      <w:tr w:rsidR="00D84FD5" w:rsidRPr="00D84FD5" w14:paraId="4A8196EE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3D5E218D" w14:textId="43600612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00" w:type="dxa"/>
            <w:vAlign w:val="center"/>
          </w:tcPr>
          <w:p w14:paraId="5F39E135" w14:textId="274457C7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ESG (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Environmental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Social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84FD5">
              <w:rPr>
                <w:rFonts w:ascii="Arial" w:hAnsi="Arial" w:cs="Arial"/>
                <w:sz w:val="24"/>
                <w:szCs w:val="24"/>
              </w:rPr>
              <w:t>Governance</w:t>
            </w:r>
            <w:proofErr w:type="spellEnd"/>
            <w:r w:rsidRPr="00D84FD5">
              <w:rPr>
                <w:rFonts w:ascii="Arial" w:hAnsi="Arial" w:cs="Arial"/>
                <w:sz w:val="24"/>
                <w:szCs w:val="24"/>
              </w:rPr>
              <w:t>) a jeho dopad na strategii firmy</w:t>
            </w:r>
          </w:p>
        </w:tc>
      </w:tr>
      <w:tr w:rsidR="00D84FD5" w:rsidRPr="00D84FD5" w14:paraId="61AF89A6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0EA052B4" w14:textId="166B3CCF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00" w:type="dxa"/>
            <w:vAlign w:val="center"/>
          </w:tcPr>
          <w:p w14:paraId="3791712C" w14:textId="7D00ABAB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Vliv monetární politiky na podnikové prostředí</w:t>
            </w:r>
          </w:p>
        </w:tc>
      </w:tr>
      <w:tr w:rsidR="00D84FD5" w:rsidRPr="00D84FD5" w14:paraId="1AC76D07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4EC9AAA4" w14:textId="11D00181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800" w:type="dxa"/>
            <w:vAlign w:val="center"/>
          </w:tcPr>
          <w:p w14:paraId="29A42FB8" w14:textId="75A93668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Dopad fiskální politiky na podnikání a spotřebitelské chování</w:t>
            </w:r>
          </w:p>
        </w:tc>
      </w:tr>
      <w:tr w:rsidR="00D84FD5" w:rsidRPr="00D84FD5" w14:paraId="558249D7" w14:textId="77777777" w:rsidTr="00D84FD5">
        <w:trPr>
          <w:trHeight w:val="812"/>
        </w:trPr>
        <w:tc>
          <w:tcPr>
            <w:tcW w:w="740" w:type="dxa"/>
            <w:shd w:val="clear" w:color="auto" w:fill="E8E8E8" w:themeFill="background2"/>
            <w:vAlign w:val="center"/>
          </w:tcPr>
          <w:p w14:paraId="764C9A76" w14:textId="75241523" w:rsidR="00D84FD5" w:rsidRPr="00D84FD5" w:rsidRDefault="00D84FD5" w:rsidP="00D84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00" w:type="dxa"/>
            <w:vAlign w:val="center"/>
          </w:tcPr>
          <w:p w14:paraId="73CE899D" w14:textId="3D1D7CEC" w:rsidR="00D84FD5" w:rsidRPr="00D84FD5" w:rsidRDefault="00D84FD5" w:rsidP="00D84FD5">
            <w:pPr>
              <w:rPr>
                <w:rFonts w:ascii="Arial" w:hAnsi="Arial" w:cs="Arial"/>
                <w:sz w:val="24"/>
                <w:szCs w:val="24"/>
              </w:rPr>
            </w:pPr>
            <w:r w:rsidRPr="00D84FD5">
              <w:rPr>
                <w:rFonts w:ascii="Arial" w:hAnsi="Arial" w:cs="Arial"/>
                <w:sz w:val="24"/>
                <w:szCs w:val="24"/>
              </w:rPr>
              <w:t>Interakce monetární a fiskální politiky a její vliv na hospodářský cyklus</w:t>
            </w:r>
          </w:p>
        </w:tc>
      </w:tr>
    </w:tbl>
    <w:p w14:paraId="0762BA5B" w14:textId="77777777" w:rsidR="00D84FD5" w:rsidRPr="00D84FD5" w:rsidRDefault="00D84FD5" w:rsidP="00D84FD5">
      <w:pPr>
        <w:jc w:val="center"/>
        <w:rPr>
          <w:rFonts w:ascii="Arial" w:hAnsi="Arial" w:cs="Arial"/>
          <w:sz w:val="24"/>
          <w:szCs w:val="24"/>
        </w:rPr>
      </w:pPr>
    </w:p>
    <w:sectPr w:rsidR="00D84FD5" w:rsidRPr="00D8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0274"/>
    <w:multiLevelType w:val="hybridMultilevel"/>
    <w:tmpl w:val="0AA25FCA"/>
    <w:lvl w:ilvl="0" w:tplc="EA8226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55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D5"/>
    <w:rsid w:val="001629CD"/>
    <w:rsid w:val="00202097"/>
    <w:rsid w:val="00884411"/>
    <w:rsid w:val="008E4A51"/>
    <w:rsid w:val="009064CF"/>
    <w:rsid w:val="00A34320"/>
    <w:rsid w:val="00C556F6"/>
    <w:rsid w:val="00D32560"/>
    <w:rsid w:val="00D84FD5"/>
    <w:rsid w:val="00E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3803"/>
  <w15:chartTrackingRefBased/>
  <w15:docId w15:val="{60E92634-9935-4AF4-A900-C7AD62D5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4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4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4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4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4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4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4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4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4F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4F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4F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4F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4F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4F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4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4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4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4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4F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4F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4F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4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4F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4FD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8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790</Characters>
  <Application>Microsoft Office Word</Application>
  <DocSecurity>0</DocSecurity>
  <Lines>6</Lines>
  <Paragraphs>1</Paragraphs>
  <ScaleCrop>false</ScaleCrop>
  <Company>MVSO.CZ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Škrabal Jaroslav</dc:creator>
  <cp:keywords/>
  <dc:description/>
  <cp:lastModifiedBy>Škrabal Jaroslav</cp:lastModifiedBy>
  <cp:revision>1</cp:revision>
  <dcterms:created xsi:type="dcterms:W3CDTF">2025-02-26T08:17:00Z</dcterms:created>
  <dcterms:modified xsi:type="dcterms:W3CDTF">2025-02-26T08:24:00Z</dcterms:modified>
</cp:coreProperties>
</file>