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95" w:rsidRPr="006F0B82" w:rsidRDefault="009E2C95" w:rsidP="009E2C95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bookmarkStart w:id="0" w:name="_Toc332869587"/>
      <w:bookmarkStart w:id="1" w:name="_Toc351460380"/>
      <w:r w:rsidRPr="006F0B82">
        <w:rPr>
          <w:b/>
          <w:sz w:val="28"/>
          <w:szCs w:val="28"/>
        </w:rPr>
        <w:t>Příklad</w:t>
      </w:r>
      <w:bookmarkEnd w:id="0"/>
      <w:bookmarkEnd w:id="1"/>
      <w:r w:rsidRPr="006F0B82">
        <w:rPr>
          <w:b/>
          <w:sz w:val="28"/>
          <w:szCs w:val="28"/>
        </w:rPr>
        <w:t xml:space="preserve"> č. 1</w:t>
      </w:r>
    </w:p>
    <w:p w:rsidR="009E2C95" w:rsidRPr="006B7034" w:rsidRDefault="009E2C95" w:rsidP="009E2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Společnost Norma s.r.o., která se specializuje na výrobu litinových kotlů má k dispozici informace  o nákladové náročnosti v níže uvedené tabulce.</w:t>
      </w:r>
      <w:r w:rsidRPr="006B7034">
        <w:rPr>
          <w:rFonts w:ascii="Calibri" w:hAnsi="Calibri" w:cs="Calibri"/>
        </w:rPr>
        <w:t xml:space="preserve"> </w:t>
      </w:r>
    </w:p>
    <w:p w:rsidR="009E2C95" w:rsidRDefault="009E2C95" w:rsidP="009E2C95">
      <w:pPr>
        <w:rPr>
          <w:rFonts w:ascii="Calibri" w:hAnsi="Calibri" w:cs="Calibri"/>
          <w:b/>
          <w:color w:val="000000"/>
        </w:rPr>
      </w:pPr>
    </w:p>
    <w:p w:rsidR="009E2C95" w:rsidRPr="005B0FC0" w:rsidRDefault="009E2C95" w:rsidP="009E2C95">
      <w:pPr>
        <w:pStyle w:val="Odstavecseseznamem"/>
        <w:spacing w:after="0" w:line="240" w:lineRule="auto"/>
        <w:ind w:left="0"/>
        <w:contextualSpacing w:val="0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p w:rsidR="009E2C95" w:rsidRPr="0068062E" w:rsidRDefault="009E2C95" w:rsidP="009E2C95">
      <w:pPr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6"/>
        <w:gridCol w:w="1089"/>
        <w:gridCol w:w="1090"/>
        <w:gridCol w:w="1383"/>
        <w:gridCol w:w="1134"/>
        <w:gridCol w:w="992"/>
        <w:gridCol w:w="1418"/>
      </w:tblGrid>
      <w:tr w:rsidR="009E2C95" w:rsidRPr="0068062E" w:rsidTr="00EA589A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rPr>
                <w:rFonts w:ascii="Calibri" w:hAnsi="Calibri" w:cs="Calibri"/>
                <w:b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Položka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Jednotky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Plán</w:t>
            </w:r>
          </w:p>
          <w:p w:rsidR="009E2C95" w:rsidRPr="0068062E" w:rsidRDefault="009E2C95" w:rsidP="00EA589A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(norma)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Skutečnost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V ceně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Plán</w:t>
            </w:r>
          </w:p>
          <w:p w:rsidR="009E2C95" w:rsidRPr="0068062E" w:rsidRDefault="009E2C95" w:rsidP="00EA589A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(norma)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Skutečnost</w:t>
            </w:r>
          </w:p>
        </w:tc>
      </w:tr>
      <w:tr w:rsidR="009E2C95" w:rsidRPr="0068062E" w:rsidTr="00EA589A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68062E">
              <w:rPr>
                <w:rFonts w:ascii="Calibri" w:hAnsi="Calibri" w:cs="Calibri"/>
                <w:b/>
                <w:color w:val="000000"/>
              </w:rPr>
              <w:t>potřeba materiálu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left="170" w:right="227" w:firstLine="51"/>
              <w:rPr>
                <w:rFonts w:ascii="Calibri" w:hAnsi="Calibri" w:cs="Calibri"/>
                <w:color w:val="800000"/>
              </w:rPr>
            </w:pPr>
            <w:r w:rsidRPr="0068062E">
              <w:rPr>
                <w:rFonts w:ascii="Calibri" w:hAnsi="Calibri" w:cs="Calibri"/>
              </w:rPr>
              <w:t>kg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68062E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left="136" w:right="57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Kč/kg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9E2C95" w:rsidRPr="0068062E" w:rsidTr="00EA589A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68062E">
              <w:rPr>
                <w:rFonts w:ascii="Calibri" w:hAnsi="Calibri" w:cs="Calibri"/>
                <w:b/>
                <w:color w:val="000000"/>
              </w:rPr>
              <w:t>potřeba pracovního času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left="170" w:right="227" w:firstLine="51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hod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8062E">
              <w:rPr>
                <w:rFonts w:ascii="Calibri" w:hAnsi="Calibri" w:cs="Calibri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left="136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Kč/hod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9E2C95" w:rsidRPr="0068062E" w:rsidTr="00EA589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</w:t>
            </w:r>
            <w:r w:rsidRPr="0068062E">
              <w:rPr>
                <w:rFonts w:ascii="Calibri" w:hAnsi="Calibri" w:cs="Calibri"/>
                <w:b/>
                <w:color w:val="000000"/>
              </w:rPr>
              <w:t>rodej výrobků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left="170" w:right="227" w:firstLine="51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68062E">
              <w:rPr>
                <w:rFonts w:ascii="Calibri" w:hAnsi="Calibri" w:cs="Calibri"/>
              </w:rPr>
              <w:t>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left="136" w:right="57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Kč/ks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95" w:rsidRPr="0068062E" w:rsidRDefault="009E2C95" w:rsidP="00EA589A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7 500</w:t>
            </w:r>
          </w:p>
        </w:tc>
      </w:tr>
    </w:tbl>
    <w:p w:rsidR="009E2C95" w:rsidRPr="006B7034" w:rsidRDefault="009E2C95" w:rsidP="009E2C95">
      <w:pPr>
        <w:pStyle w:val="Zkladntext2"/>
        <w:spacing w:before="240" w:line="360" w:lineRule="auto"/>
        <w:rPr>
          <w:rFonts w:ascii="Calibri" w:hAnsi="Calibri" w:cs="Calibri"/>
        </w:rPr>
      </w:pPr>
      <w:r w:rsidRPr="006B7034">
        <w:rPr>
          <w:rFonts w:ascii="Calibri" w:hAnsi="Calibri" w:cs="Calibri"/>
        </w:rPr>
        <w:t xml:space="preserve">Úkol:   </w:t>
      </w:r>
    </w:p>
    <w:p w:rsidR="009E2C95" w:rsidRDefault="009E2C95" w:rsidP="009E2C9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Vypočítejte výši celkové materiálové odchylky a analyzujte, jak se na této výši podílí růst ceny a růst spotřebovaného množství.</w:t>
      </w:r>
      <w:r w:rsidRPr="004C6714">
        <w:rPr>
          <w:sz w:val="24"/>
          <w:szCs w:val="24"/>
        </w:rPr>
        <w:t xml:space="preserve"> </w:t>
      </w:r>
    </w:p>
    <w:p w:rsidR="009E2C95" w:rsidRPr="00D42476" w:rsidRDefault="009E2C95" w:rsidP="009E2C9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Vypočítejte výši celkové odchylky ve mzdových nákladech a analyzujte, jak se na této výši podílí růst mzdových sazeb a </w:t>
      </w:r>
      <w:r w:rsidRPr="00D42476">
        <w:rPr>
          <w:rFonts w:cs="Calibri"/>
          <w:color w:val="000000"/>
        </w:rPr>
        <w:t>růst spotřeby pracovního času</w:t>
      </w:r>
      <w:r>
        <w:rPr>
          <w:rFonts w:cs="Calibri"/>
          <w:color w:val="000000"/>
        </w:rPr>
        <w:t>.</w:t>
      </w:r>
    </w:p>
    <w:p w:rsidR="009E2C95" w:rsidRPr="00C9452B" w:rsidRDefault="009E2C95" w:rsidP="009E2C9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C9452B">
        <w:rPr>
          <w:rFonts w:cs="Calibri"/>
          <w:color w:val="000000"/>
          <w:sz w:val="24"/>
          <w:szCs w:val="24"/>
        </w:rPr>
        <w:t>Vypočítejte výši celkové odchylky v tržbách a analyzujte, jak se na celkové výši podílí změna prodejní ceny a změna prodaného množství výrobků.</w:t>
      </w:r>
    </w:p>
    <w:p w:rsidR="009E2C95" w:rsidRDefault="009E2C95" w:rsidP="009E2C9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Zjištěné skutečnosti u všech typů odchylek zachyťte i v grafickém znázornění</w:t>
      </w:r>
      <w:r w:rsidRPr="004C6714">
        <w:rPr>
          <w:sz w:val="24"/>
          <w:szCs w:val="24"/>
        </w:rPr>
        <w:t xml:space="preserve">. </w:t>
      </w:r>
    </w:p>
    <w:p w:rsidR="009E2C95" w:rsidRDefault="009E2C95" w:rsidP="009E2C95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9E2C95" w:rsidRDefault="009E2C95" w:rsidP="009E2C95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</w:p>
    <w:p w:rsidR="009E2C95" w:rsidRPr="000E7CD9" w:rsidRDefault="009E2C95" w:rsidP="009E2C95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0E7CD9">
        <w:rPr>
          <w:rFonts w:cs="Calibri"/>
          <w:b/>
          <w:sz w:val="24"/>
          <w:szCs w:val="24"/>
        </w:rPr>
        <w:t>Řešení:</w:t>
      </w:r>
    </w:p>
    <w:p w:rsidR="009E2C95" w:rsidRDefault="009E2C95" w:rsidP="009E2C95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9E2C95" w:rsidRPr="00BD208B" w:rsidRDefault="009E2C95" w:rsidP="009E2C95">
      <w:pPr>
        <w:spacing w:after="240"/>
        <w:rPr>
          <w:rFonts w:ascii="Calibri" w:hAnsi="Calibri" w:cs="Calibri"/>
          <w:b/>
        </w:rPr>
      </w:pPr>
      <w:r w:rsidRPr="00BD208B">
        <w:rPr>
          <w:rFonts w:ascii="Calibri" w:hAnsi="Calibri" w:cs="Calibri"/>
          <w:b/>
        </w:rPr>
        <w:t>1) Výpočet materiálových odchylek</w:t>
      </w:r>
    </w:p>
    <w:p w:rsidR="009E2C95" w:rsidRPr="0068062E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Skutečné materiálové náklady činily:</w:t>
      </w:r>
    </w:p>
    <w:p w:rsidR="009E2C95" w:rsidRPr="0068062E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Plánované materiálové náklady činily:</w:t>
      </w:r>
    </w:p>
    <w:p w:rsidR="009E2C95" w:rsidRPr="00BD208B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:rsidR="009E2C95" w:rsidRPr="00A157CF" w:rsidRDefault="009E2C95" w:rsidP="009E2C95">
      <w:pPr>
        <w:ind w:left="70"/>
        <w:rPr>
          <w:rFonts w:ascii="Calibri" w:hAnsi="Calibri" w:cs="Calibri"/>
          <w:color w:val="000000"/>
        </w:rPr>
      </w:pPr>
    </w:p>
    <w:p w:rsidR="009E2C95" w:rsidRPr="0068062E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Množstevní odchylka:</w:t>
      </w:r>
    </w:p>
    <w:p w:rsidR="009E2C95" w:rsidRPr="0068062E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Cenová odchylka:</w:t>
      </w:r>
    </w:p>
    <w:p w:rsidR="009E2C95" w:rsidRPr="00BD208B" w:rsidRDefault="009E2C95" w:rsidP="009E2C95">
      <w:pPr>
        <w:spacing w:before="120" w:after="80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Kontrola:</w:t>
      </w:r>
    </w:p>
    <w:p w:rsidR="009E2C95" w:rsidRPr="0068062E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Pr="00BD208B" w:rsidRDefault="009E2C95" w:rsidP="009E2C95">
      <w:pPr>
        <w:spacing w:before="120" w:after="80"/>
        <w:rPr>
          <w:rFonts w:ascii="Calibri" w:hAnsi="Calibri" w:cs="Calibri"/>
          <w:b/>
          <w:color w:val="000000"/>
        </w:rPr>
      </w:pPr>
      <w:r w:rsidRPr="00BD208B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Pr="00BD208B" w:rsidRDefault="009E2C95" w:rsidP="009E2C95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Pr="00BD208B">
        <w:rPr>
          <w:rFonts w:ascii="Calibri" w:hAnsi="Calibri" w:cs="Calibri"/>
          <w:b/>
        </w:rPr>
        <w:t xml:space="preserve">) Výpočet </w:t>
      </w:r>
      <w:r>
        <w:rPr>
          <w:rFonts w:ascii="Calibri" w:hAnsi="Calibri" w:cs="Calibri"/>
          <w:b/>
        </w:rPr>
        <w:t>mzdových</w:t>
      </w:r>
      <w:r w:rsidRPr="00BD208B">
        <w:rPr>
          <w:rFonts w:ascii="Calibri" w:hAnsi="Calibri" w:cs="Calibri"/>
          <w:b/>
        </w:rPr>
        <w:t xml:space="preserve"> odchylek</w:t>
      </w:r>
    </w:p>
    <w:p w:rsidR="009E2C95" w:rsidRPr="00D42476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Skutečné mzdové</w:t>
      </w:r>
      <w:r w:rsidRPr="00D42476">
        <w:rPr>
          <w:rFonts w:ascii="Calibri" w:hAnsi="Calibri" w:cs="Calibri"/>
          <w:color w:val="000000"/>
        </w:rPr>
        <w:t xml:space="preserve"> náklady činily:</w:t>
      </w:r>
    </w:p>
    <w:p w:rsidR="009E2C95" w:rsidRPr="00D42476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Plánované </w:t>
      </w:r>
      <w:r>
        <w:rPr>
          <w:rFonts w:ascii="Calibri" w:hAnsi="Calibri" w:cs="Calibri"/>
          <w:color w:val="000000"/>
        </w:rPr>
        <w:t>mzdové</w:t>
      </w:r>
      <w:r w:rsidRPr="00D42476">
        <w:rPr>
          <w:rFonts w:ascii="Calibri" w:hAnsi="Calibri" w:cs="Calibri"/>
          <w:color w:val="000000"/>
        </w:rPr>
        <w:t xml:space="preserve"> náklady činily:</w:t>
      </w:r>
    </w:p>
    <w:p w:rsidR="009E2C95" w:rsidRPr="00BD208B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:rsidR="009E2C95" w:rsidRPr="00A157CF" w:rsidRDefault="009E2C95" w:rsidP="009E2C95">
      <w:pPr>
        <w:ind w:left="70"/>
        <w:rPr>
          <w:rFonts w:ascii="Calibri" w:hAnsi="Calibri" w:cs="Calibri"/>
          <w:color w:val="000000"/>
        </w:rPr>
      </w:pPr>
    </w:p>
    <w:p w:rsidR="009E2C95" w:rsidRPr="00D42476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Množstevní odchylka:</w:t>
      </w:r>
    </w:p>
    <w:p w:rsidR="009E2C95" w:rsidRPr="00D42476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Cenová odchylka:</w:t>
      </w:r>
    </w:p>
    <w:p w:rsidR="009E2C95" w:rsidRPr="00BD208B" w:rsidRDefault="009E2C95" w:rsidP="009E2C95">
      <w:pPr>
        <w:spacing w:before="120" w:after="80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Kontrola:</w:t>
      </w:r>
    </w:p>
    <w:p w:rsidR="009E2C95" w:rsidRPr="00D42476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Pr="00BD208B" w:rsidRDefault="009E2C95" w:rsidP="009E2C95">
      <w:pPr>
        <w:spacing w:before="120" w:after="80"/>
        <w:rPr>
          <w:rFonts w:ascii="Calibri" w:hAnsi="Calibri" w:cs="Calibri"/>
          <w:b/>
          <w:color w:val="000000"/>
        </w:rPr>
      </w:pPr>
      <w:r w:rsidRPr="00BD208B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Pr="00BD208B" w:rsidRDefault="009E2C95" w:rsidP="009E2C95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BD208B">
        <w:rPr>
          <w:rFonts w:ascii="Calibri" w:hAnsi="Calibri" w:cs="Calibri"/>
          <w:b/>
        </w:rPr>
        <w:t>) Výpočet</w:t>
      </w:r>
      <w:r>
        <w:rPr>
          <w:rFonts w:ascii="Calibri" w:hAnsi="Calibri" w:cs="Calibri"/>
          <w:b/>
        </w:rPr>
        <w:t xml:space="preserve"> o</w:t>
      </w:r>
      <w:r w:rsidRPr="00BD208B">
        <w:rPr>
          <w:rFonts w:ascii="Calibri" w:hAnsi="Calibri" w:cs="Calibri"/>
          <w:b/>
        </w:rPr>
        <w:t>dchylek</w:t>
      </w:r>
      <w:r>
        <w:rPr>
          <w:rFonts w:ascii="Calibri" w:hAnsi="Calibri" w:cs="Calibri"/>
          <w:b/>
        </w:rPr>
        <w:t xml:space="preserve"> v tržbách</w:t>
      </w:r>
    </w:p>
    <w:p w:rsidR="009E2C95" w:rsidRPr="00D42476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Skutečné </w:t>
      </w:r>
      <w:r>
        <w:rPr>
          <w:rFonts w:ascii="Calibri" w:hAnsi="Calibri" w:cs="Calibri"/>
          <w:color w:val="000000"/>
        </w:rPr>
        <w:t>tržby</w:t>
      </w:r>
      <w:r w:rsidRPr="00D42476">
        <w:rPr>
          <w:rFonts w:ascii="Calibri" w:hAnsi="Calibri" w:cs="Calibri"/>
          <w:color w:val="000000"/>
        </w:rPr>
        <w:t xml:space="preserve"> činily:</w:t>
      </w:r>
    </w:p>
    <w:p w:rsidR="009E2C95" w:rsidRPr="00D42476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Plánované </w:t>
      </w:r>
      <w:r>
        <w:rPr>
          <w:rFonts w:ascii="Calibri" w:hAnsi="Calibri" w:cs="Calibri"/>
          <w:color w:val="000000"/>
        </w:rPr>
        <w:t>tržby</w:t>
      </w:r>
      <w:r w:rsidRPr="00D42476">
        <w:rPr>
          <w:rFonts w:ascii="Calibri" w:hAnsi="Calibri" w:cs="Calibri"/>
          <w:color w:val="000000"/>
        </w:rPr>
        <w:t xml:space="preserve"> činily:</w:t>
      </w:r>
    </w:p>
    <w:p w:rsidR="009E2C95" w:rsidRPr="00BD208B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:rsidR="009E2C95" w:rsidRPr="00A157CF" w:rsidRDefault="009E2C95" w:rsidP="009E2C95">
      <w:pPr>
        <w:ind w:left="70"/>
        <w:rPr>
          <w:rFonts w:ascii="Calibri" w:hAnsi="Calibri" w:cs="Calibri"/>
          <w:color w:val="000000"/>
        </w:rPr>
      </w:pPr>
    </w:p>
    <w:p w:rsidR="009E2C95" w:rsidRPr="00D42476" w:rsidRDefault="009E2C95" w:rsidP="009E2C95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Množstevní odchylka:</w:t>
      </w:r>
    </w:p>
    <w:p w:rsidR="009E2C95" w:rsidRPr="00D42476" w:rsidRDefault="009E2C95" w:rsidP="009E2C95">
      <w:pPr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Cenová odchylka:</w:t>
      </w:r>
    </w:p>
    <w:p w:rsidR="009E2C95" w:rsidRPr="00D10062" w:rsidRDefault="009E2C95" w:rsidP="009E2C95">
      <w:pPr>
        <w:spacing w:before="120" w:after="80"/>
        <w:rPr>
          <w:rFonts w:ascii="Calibri" w:hAnsi="Calibri" w:cs="Calibri"/>
          <w:color w:val="000000"/>
        </w:rPr>
      </w:pPr>
      <w:r w:rsidRPr="00D10062">
        <w:rPr>
          <w:rFonts w:ascii="Calibri" w:hAnsi="Calibri" w:cs="Calibri"/>
          <w:color w:val="000000"/>
        </w:rPr>
        <w:t>Kontrola:</w:t>
      </w:r>
    </w:p>
    <w:p w:rsidR="009E2C95" w:rsidRPr="00D42476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Pr="00D42476" w:rsidRDefault="009E2C95" w:rsidP="009E2C95">
      <w:pPr>
        <w:spacing w:before="120" w:after="80"/>
        <w:rPr>
          <w:rFonts w:ascii="Calibri" w:hAnsi="Calibri" w:cs="Calibri"/>
          <w:color w:val="000000"/>
        </w:rPr>
      </w:pPr>
    </w:p>
    <w:p w:rsidR="009E2C95" w:rsidRPr="00D10062" w:rsidRDefault="009E2C95" w:rsidP="009E2C95">
      <w:pPr>
        <w:spacing w:before="120" w:after="80"/>
        <w:rPr>
          <w:rFonts w:ascii="Calibri" w:hAnsi="Calibri" w:cs="Calibri"/>
          <w:b/>
          <w:color w:val="000000"/>
        </w:rPr>
      </w:pPr>
      <w:r w:rsidRPr="00D10062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  <w:bookmarkStart w:id="2" w:name="_GoBack"/>
      <w:bookmarkEnd w:id="2"/>
    </w:p>
    <w:sectPr w:rsidR="009E2C95" w:rsidRPr="00D10062" w:rsidSect="009E2C9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2123"/>
    <w:multiLevelType w:val="hybridMultilevel"/>
    <w:tmpl w:val="4C3ACD20"/>
    <w:lvl w:ilvl="0" w:tplc="FFA0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95"/>
    <w:rsid w:val="009E2C95"/>
    <w:rsid w:val="00A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4980-ECB3-4D6A-9E5B-C07F4FA1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E2C95"/>
    <w:rPr>
      <w:b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E2C9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E2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1</cp:revision>
  <dcterms:created xsi:type="dcterms:W3CDTF">2024-04-14T18:54:00Z</dcterms:created>
  <dcterms:modified xsi:type="dcterms:W3CDTF">2024-04-14T18:56:00Z</dcterms:modified>
</cp:coreProperties>
</file>