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027" w14:textId="77777777" w:rsidR="00BB65E0" w:rsidRDefault="00BB65E0" w:rsidP="00BB65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14:paraId="5326CB43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B40A" w14:textId="77777777" w:rsidR="00A126E2" w:rsidRPr="00A126E2" w:rsidRDefault="00BB65E0" w:rsidP="00BB65E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>Regulace</w:t>
      </w:r>
      <w:r w:rsidRPr="00A126E2">
        <w:rPr>
          <w:rFonts w:ascii="Times New Roman" w:hAnsi="Times New Roman" w:cs="Times New Roman"/>
          <w:bCs/>
          <w:sz w:val="24"/>
          <w:szCs w:val="24"/>
        </w:rPr>
        <w:t xml:space="preserve"> – stanovení pravidel pro účetnictví, účetní závěrku …  </w:t>
      </w:r>
    </w:p>
    <w:p w14:paraId="3D17B049" w14:textId="77777777" w:rsidR="00A126E2" w:rsidRPr="00A126E2" w:rsidRDefault="00BB65E0" w:rsidP="00BB65E0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Právním předpisem </w:t>
      </w:r>
    </w:p>
    <w:p w14:paraId="50D2B364" w14:textId="77777777" w:rsidR="00A126E2" w:rsidRPr="00A126E2" w:rsidRDefault="00BB65E0" w:rsidP="00BB65E0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Standardem </w:t>
      </w:r>
    </w:p>
    <w:p w14:paraId="3E38D91F" w14:textId="77777777" w:rsidR="00A126E2" w:rsidRPr="00A126E2" w:rsidRDefault="00BB65E0" w:rsidP="00BB65E0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Kombinací právního předpisu a standardu </w:t>
      </w:r>
    </w:p>
    <w:p w14:paraId="25EE5347" w14:textId="77777777" w:rsidR="00A126E2" w:rsidRPr="00A126E2" w:rsidRDefault="00BB65E0" w:rsidP="00BB65E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>Harmonizace</w:t>
      </w:r>
      <w:r w:rsidRPr="00A126E2">
        <w:rPr>
          <w:rFonts w:ascii="Times New Roman" w:hAnsi="Times New Roman" w:cs="Times New Roman"/>
          <w:bCs/>
          <w:sz w:val="24"/>
          <w:szCs w:val="24"/>
        </w:rPr>
        <w:t xml:space="preserve"> – odstraňování rozdílů mezi jednotlivými způsoby regulace </w:t>
      </w:r>
    </w:p>
    <w:p w14:paraId="42FD9C8A" w14:textId="77777777" w:rsidR="00A126E2" w:rsidRPr="00A126E2" w:rsidRDefault="00BB65E0" w:rsidP="00BB65E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>Standardizace</w:t>
      </w:r>
      <w:r w:rsidRPr="00A126E2">
        <w:rPr>
          <w:rFonts w:ascii="Times New Roman" w:hAnsi="Times New Roman" w:cs="Times New Roman"/>
          <w:bCs/>
          <w:sz w:val="24"/>
          <w:szCs w:val="24"/>
        </w:rPr>
        <w:t xml:space="preserve"> – prohloubení harmonizace </w:t>
      </w:r>
    </w:p>
    <w:p w14:paraId="166B3A7E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FBDE1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42CDE" w14:textId="77777777" w:rsidR="00A126E2" w:rsidRPr="00A126E2" w:rsidRDefault="00BB65E0" w:rsidP="00BB65E0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 xml:space="preserve">Anglosaský model  </w:t>
      </w:r>
    </w:p>
    <w:p w14:paraId="280A091B" w14:textId="77777777" w:rsidR="00A126E2" w:rsidRPr="00A126E2" w:rsidRDefault="00BB65E0" w:rsidP="00BB65E0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typické pro země s velkým peněžním a kapitálovým trhem, </w:t>
      </w:r>
    </w:p>
    <w:p w14:paraId="240C1D16" w14:textId="77777777" w:rsidR="00A126E2" w:rsidRPr="00A126E2" w:rsidRDefault="00BB65E0" w:rsidP="00BB65E0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>účetnictví je zaměřeno na externí uživatele,</w:t>
      </w:r>
    </w:p>
    <w:p w14:paraId="7FC4AB62" w14:textId="77777777" w:rsidR="00A126E2" w:rsidRPr="00A126E2" w:rsidRDefault="00BB65E0" w:rsidP="00BB65E0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 způsoby účtování jsou usměrňovány profesními organizacemi  </w:t>
      </w:r>
    </w:p>
    <w:p w14:paraId="36EFB900" w14:textId="77777777" w:rsidR="00A126E2" w:rsidRPr="00A126E2" w:rsidRDefault="00BB65E0" w:rsidP="00BB65E0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E2">
        <w:rPr>
          <w:rFonts w:ascii="Times New Roman" w:hAnsi="Times New Roman" w:cs="Times New Roman"/>
          <w:bCs/>
          <w:sz w:val="24"/>
          <w:szCs w:val="24"/>
        </w:rPr>
        <w:t xml:space="preserve">Velká Británie, USA, Nizozemsko </w:t>
      </w:r>
    </w:p>
    <w:p w14:paraId="25990C25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3A46E" w14:textId="77777777" w:rsidR="00A126E2" w:rsidRPr="00A126E2" w:rsidRDefault="00BB65E0" w:rsidP="00BB65E0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 xml:space="preserve">Kontinentální (Evropský) model  </w:t>
      </w:r>
    </w:p>
    <w:p w14:paraId="1E780A9F" w14:textId="77777777" w:rsidR="00A126E2" w:rsidRPr="00A126E2" w:rsidRDefault="00BB65E0" w:rsidP="00BB65E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Úzká vazba mezi účetním a daňovým systémem </w:t>
      </w:r>
    </w:p>
    <w:p w14:paraId="7E3C3692" w14:textId="77777777" w:rsidR="00A126E2" w:rsidRPr="00A126E2" w:rsidRDefault="00BB65E0" w:rsidP="00BB65E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Účetnictví je regulováno právními normami </w:t>
      </w:r>
    </w:p>
    <w:p w14:paraId="670683CF" w14:textId="77777777" w:rsidR="00A126E2" w:rsidRPr="00A126E2" w:rsidRDefault="00BB65E0" w:rsidP="00BB65E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Evropa, Japonsko, Francouzsky mluvící africké země </w:t>
      </w:r>
    </w:p>
    <w:p w14:paraId="7FFB974E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875E2" w14:textId="77777777" w:rsidR="00A126E2" w:rsidRPr="00A126E2" w:rsidRDefault="00BB65E0" w:rsidP="00BB65E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Jihoamerický model </w:t>
      </w:r>
    </w:p>
    <w:p w14:paraId="7DFF4454" w14:textId="77777777" w:rsidR="00A126E2" w:rsidRPr="00A126E2" w:rsidRDefault="00BB65E0" w:rsidP="00BB65E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Inflační účetnictví </w:t>
      </w:r>
    </w:p>
    <w:p w14:paraId="44ED33A4" w14:textId="77777777" w:rsidR="00A126E2" w:rsidRPr="00A126E2" w:rsidRDefault="00BB65E0" w:rsidP="00BB65E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Účetnictví je zaměřeno na potřeby vlády a daňových orgánů </w:t>
      </w:r>
    </w:p>
    <w:p w14:paraId="5AE2EE6C" w14:textId="77777777" w:rsidR="00A126E2" w:rsidRPr="00A126E2" w:rsidRDefault="00BB65E0" w:rsidP="00BB65E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Smíšený model </w:t>
      </w:r>
    </w:p>
    <w:p w14:paraId="4EE188E3" w14:textId="77777777" w:rsidR="00A126E2" w:rsidRPr="00A126E2" w:rsidRDefault="00BB65E0" w:rsidP="00BB65E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Zohledňuje přechod od centrálně řízené ekonomice k tržní </w:t>
      </w:r>
    </w:p>
    <w:p w14:paraId="3D4D5CA2" w14:textId="77777777" w:rsidR="00A126E2" w:rsidRPr="00A126E2" w:rsidRDefault="00BB65E0" w:rsidP="00BB65E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V zemích bývalého Sovětského svazu </w:t>
      </w:r>
    </w:p>
    <w:p w14:paraId="5BE78978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19988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14:paraId="58BBE78C" w14:textId="77777777" w:rsidR="00A126E2" w:rsidRPr="00A126E2" w:rsidRDefault="00BB65E0" w:rsidP="00BB65E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14:paraId="3BAECA57" w14:textId="77777777" w:rsidR="00A126E2" w:rsidRPr="00A126E2" w:rsidRDefault="00BB65E0" w:rsidP="00BB65E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>4.direktiva</w:t>
      </w:r>
      <w:r w:rsidRPr="00A126E2"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14:paraId="3B953556" w14:textId="77777777" w:rsidR="00BB65E0" w:rsidRDefault="00BB65E0" w:rsidP="00BB65E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>7.direktiva</w:t>
      </w:r>
      <w:r w:rsidRPr="00A126E2"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14:paraId="662BF3E4" w14:textId="77777777" w:rsidR="00A126E2" w:rsidRPr="00A126E2" w:rsidRDefault="00000000" w:rsidP="00BB65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384EE4" w14:textId="77777777" w:rsidR="00BB65E0" w:rsidRPr="00A126E2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Nová strategie harmonizace účetnictví (1995)</w:t>
      </w:r>
    </w:p>
    <w:p w14:paraId="6E374B3B" w14:textId="77777777" w:rsidR="00BB65E0" w:rsidRPr="00A126E2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Strategii finančního výkaznictví EU: cesta vpřed – nařízení o uplatňování IFRS (od r. 2005)</w:t>
      </w:r>
    </w:p>
    <w:p w14:paraId="5A4DFE6F" w14:textId="77777777" w:rsidR="00BB65E0" w:rsidRPr="00A126E2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Transpozice směrnice Evropského parlamentu a Rady 2013/34/EU – zrušení Čtvrté a Sedmé směrnice </w:t>
      </w:r>
    </w:p>
    <w:p w14:paraId="7D26C6A8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00F2B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2D371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66254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706E9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0DCAE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D65B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21E0E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14:paraId="19C7AD05" w14:textId="77777777" w:rsidR="00A126E2" w:rsidRPr="00A126E2" w:rsidRDefault="00BB65E0" w:rsidP="00BB65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14:paraId="1C45598F" w14:textId="77777777" w:rsidR="00A126E2" w:rsidRPr="00A126E2" w:rsidRDefault="00BB65E0" w:rsidP="00BB65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Mají mnohaletou tradici</w:t>
      </w:r>
    </w:p>
    <w:p w14:paraId="2B897407" w14:textId="77777777" w:rsidR="00A126E2" w:rsidRPr="00A126E2" w:rsidRDefault="00BB65E0" w:rsidP="00BB65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Soubor IFRS zahrnuje:</w:t>
      </w:r>
    </w:p>
    <w:p w14:paraId="53350968" w14:textId="77777777" w:rsidR="00A126E2" w:rsidRPr="00A126E2" w:rsidRDefault="00BB65E0" w:rsidP="00BB65E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Úvod a předmluvu</w:t>
      </w:r>
    </w:p>
    <w:p w14:paraId="34B6C4F5" w14:textId="77777777" w:rsidR="00A126E2" w:rsidRPr="00A126E2" w:rsidRDefault="00BB65E0" w:rsidP="00BB65E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Koncepční rámec </w:t>
      </w:r>
    </w:p>
    <w:p w14:paraId="62AEAD3D" w14:textId="77777777" w:rsidR="00A126E2" w:rsidRPr="00A126E2" w:rsidRDefault="00BB65E0" w:rsidP="00BB65E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Účetní standardy IAS, IFRS</w:t>
      </w:r>
    </w:p>
    <w:p w14:paraId="6238ECE0" w14:textId="77777777" w:rsidR="00A126E2" w:rsidRPr="00A126E2" w:rsidRDefault="00BB65E0" w:rsidP="00BB65E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Interpretace SIC, IFRIC</w:t>
      </w:r>
    </w:p>
    <w:p w14:paraId="3CE446E9" w14:textId="77777777" w:rsidR="00A126E2" w:rsidRPr="00A126E2" w:rsidRDefault="00BB65E0" w:rsidP="00BB65E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 w:rsidRPr="00A126E2"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 w:rsidRPr="00A126E2"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14:paraId="1C8123F3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CE9CF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14:paraId="1EB27D72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350B0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14:paraId="08BB345A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Není účetním standardem </w:t>
      </w:r>
    </w:p>
    <w:p w14:paraId="10D40DF5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Účel a cíl koncepčního rámce </w:t>
      </w:r>
    </w:p>
    <w:p w14:paraId="32281864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14:paraId="473C8A7F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Výkazy informují o finanční pozici, výkonnosti a změnách ve finanční pozici </w:t>
      </w:r>
    </w:p>
    <w:p w14:paraId="7899FFA0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A126E2"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 w:rsidRPr="00A126E2">
        <w:rPr>
          <w:rFonts w:ascii="Times New Roman" w:hAnsi="Times New Roman" w:cs="Times New Roman"/>
          <w:sz w:val="24"/>
          <w:szCs w:val="24"/>
        </w:rPr>
        <w:t xml:space="preserve">: aktiva, závazky, vlastní kapitál, náklady, výnosy </w:t>
      </w:r>
    </w:p>
    <w:p w14:paraId="46F0A6FE" w14:textId="77777777" w:rsidR="00A126E2" w:rsidRPr="00A126E2" w:rsidRDefault="00BB65E0" w:rsidP="00BB65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14:paraId="19434082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E73B9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A5865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14:paraId="659E12E0" w14:textId="77777777" w:rsidR="00A126E2" w:rsidRPr="00A126E2" w:rsidRDefault="00BB65E0" w:rsidP="00BB65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GAAP = GENERALLY ACCEPTED ACCOUNTING PRINCIPLES</w:t>
      </w:r>
    </w:p>
    <w:p w14:paraId="7C4702B3" w14:textId="77777777" w:rsidR="00A126E2" w:rsidRPr="00A126E2" w:rsidRDefault="00BB65E0" w:rsidP="00BB65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začaly se vydávat ve 30. letech min. století, vznikly jako přímý důsledek krachu na newyorské burze</w:t>
      </w:r>
    </w:p>
    <w:p w14:paraId="4B3F7960" w14:textId="77777777" w:rsidR="00A126E2" w:rsidRPr="00A126E2" w:rsidRDefault="00BB65E0" w:rsidP="00BB65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představují nejucelenější a nejvypracovanější soubor požadavků na obsah, formu a zveřejňování účetních závěrek</w:t>
      </w:r>
    </w:p>
    <w:p w14:paraId="5D202486" w14:textId="77777777" w:rsidR="00A126E2" w:rsidRPr="00A126E2" w:rsidRDefault="00BB65E0" w:rsidP="00BB65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nejúplnější systém regulace účetnictví </w:t>
      </w:r>
    </w:p>
    <w:p w14:paraId="352621EA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FE3CE" w14:textId="77777777" w:rsidR="00A126E2" w:rsidRPr="00A126E2" w:rsidRDefault="00BB65E0" w:rsidP="00BB65E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US GAAP zahrnují:</w:t>
      </w:r>
    </w:p>
    <w:p w14:paraId="1803087D" w14:textId="77777777" w:rsidR="00A126E2" w:rsidRPr="00A126E2" w:rsidRDefault="00BB65E0" w:rsidP="00BB65E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>Koncepční rámec finančního výkaznictví – SFAC</w:t>
      </w:r>
    </w:p>
    <w:p w14:paraId="47697528" w14:textId="77777777" w:rsidR="00A126E2" w:rsidRPr="00A126E2" w:rsidRDefault="00BB65E0" w:rsidP="00BB65E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Účetní standardy – SFAS </w:t>
      </w:r>
    </w:p>
    <w:p w14:paraId="33C05FE4" w14:textId="77777777" w:rsidR="00A126E2" w:rsidRPr="00A126E2" w:rsidRDefault="00BB65E0" w:rsidP="00BB65E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14:paraId="762B77EE" w14:textId="77777777" w:rsidR="00A126E2" w:rsidRPr="00A126E2" w:rsidRDefault="00BB65E0" w:rsidP="00BB65E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 w:rsidRPr="00A126E2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A12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4D7F3" w14:textId="77777777" w:rsidR="00A126E2" w:rsidRPr="00A126E2" w:rsidRDefault="00BB65E0" w:rsidP="00BB65E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Technické věstníky – TB </w:t>
      </w:r>
    </w:p>
    <w:p w14:paraId="5AFD7418" w14:textId="77777777" w:rsidR="00A126E2" w:rsidRPr="00A126E2" w:rsidRDefault="00BB65E0" w:rsidP="00BB65E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b/>
          <w:bCs/>
          <w:sz w:val="24"/>
          <w:szCs w:val="24"/>
        </w:rPr>
        <w:t xml:space="preserve">Základní zásady </w:t>
      </w:r>
      <w:r w:rsidRPr="00A126E2"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objektivity, účetní jednotky, předpoklad trvání podniku, věrný a poctivý obraz, průmyslové zvyklosti  </w:t>
      </w:r>
    </w:p>
    <w:p w14:paraId="485BAF6F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612B0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7A9D9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BE7B6" w14:textId="77777777" w:rsidR="00BB65E0" w:rsidRDefault="00BB65E0" w:rsidP="00B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Aplikace v ČR</w:t>
      </w:r>
    </w:p>
    <w:p w14:paraId="26A51F57" w14:textId="77777777" w:rsidR="00A126E2" w:rsidRPr="00A126E2" w:rsidRDefault="00BB65E0" w:rsidP="00BB65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Podniky, které jsou obchodní společností a jsou emitentem cenných papírů na evropském regulovatelném trhu – účtují a sestavují účetní závěrku podle </w:t>
      </w:r>
      <w:proofErr w:type="gramStart"/>
      <w:r w:rsidRPr="00A126E2">
        <w:rPr>
          <w:rFonts w:ascii="Times New Roman" w:hAnsi="Times New Roman" w:cs="Times New Roman"/>
          <w:b/>
          <w:bCs/>
          <w:sz w:val="24"/>
          <w:szCs w:val="24"/>
        </w:rPr>
        <w:t xml:space="preserve">IFRS </w:t>
      </w:r>
      <w:r w:rsidRPr="00A126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126E2">
        <w:rPr>
          <w:rFonts w:ascii="Times New Roman" w:hAnsi="Times New Roman" w:cs="Times New Roman"/>
          <w:sz w:val="24"/>
          <w:szCs w:val="24"/>
        </w:rPr>
        <w:t>schválené právem EU)</w:t>
      </w:r>
    </w:p>
    <w:p w14:paraId="27B00780" w14:textId="77777777" w:rsidR="00A126E2" w:rsidRPr="00A126E2" w:rsidRDefault="00BB65E0" w:rsidP="00BB65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E2"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</w:p>
    <w:p w14:paraId="271C8A80" w14:textId="77777777" w:rsidR="00BB65E0" w:rsidRPr="0089657E" w:rsidRDefault="00BB65E0" w:rsidP="00BB65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7774D" w14:textId="77777777" w:rsidR="001D53E1" w:rsidRDefault="001D53E1"/>
    <w:sectPr w:rsidR="001D53E1" w:rsidSect="00AD30D6">
      <w:footerReference w:type="default" r:id="rId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118B" w14:textId="77777777" w:rsidR="002F1A72" w:rsidRPr="00D76B08" w:rsidRDefault="00000000" w:rsidP="00D76B0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1</w:t>
    </w:r>
    <w:r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 přednáška                   4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5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62786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3E4"/>
    <w:multiLevelType w:val="hybridMultilevel"/>
    <w:tmpl w:val="6B588D28"/>
    <w:lvl w:ilvl="0" w:tplc="B2BA36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808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2E5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3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4A0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45F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1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CF1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C78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8DD"/>
    <w:multiLevelType w:val="hybridMultilevel"/>
    <w:tmpl w:val="6E9483AA"/>
    <w:lvl w:ilvl="0" w:tplc="B26A2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4728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B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272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27D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86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C1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05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A0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AD206C1"/>
    <w:multiLevelType w:val="hybridMultilevel"/>
    <w:tmpl w:val="7E8AE8F0"/>
    <w:lvl w:ilvl="0" w:tplc="CF9C1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E5C8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8B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71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3A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45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AC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25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45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7FB7"/>
    <w:multiLevelType w:val="hybridMultilevel"/>
    <w:tmpl w:val="C0306EEA"/>
    <w:lvl w:ilvl="0" w:tplc="9612D3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0FA2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C93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C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CF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47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3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A3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7F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0E0"/>
    <w:multiLevelType w:val="hybridMultilevel"/>
    <w:tmpl w:val="05F61F94"/>
    <w:lvl w:ilvl="0" w:tplc="C08EB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B5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46D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A9E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E6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062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61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20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2F99"/>
    <w:multiLevelType w:val="hybridMultilevel"/>
    <w:tmpl w:val="9FB8EEDC"/>
    <w:lvl w:ilvl="0" w:tplc="007E27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8D7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F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EE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406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C7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E03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E1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86A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2821"/>
    <w:multiLevelType w:val="hybridMultilevel"/>
    <w:tmpl w:val="879CDE50"/>
    <w:lvl w:ilvl="0" w:tplc="4D009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BD0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D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88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A47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244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AEB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ABF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C5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5147"/>
    <w:multiLevelType w:val="hybridMultilevel"/>
    <w:tmpl w:val="9A449662"/>
    <w:lvl w:ilvl="0" w:tplc="C71403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A88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2BA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E1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C53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67E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8B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8E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C5D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B6E76"/>
    <w:multiLevelType w:val="hybridMultilevel"/>
    <w:tmpl w:val="E7CC1722"/>
    <w:lvl w:ilvl="0" w:tplc="F9AA8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A71F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C0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ED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B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0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F7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C81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C6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181164">
    <w:abstractNumId w:val="2"/>
  </w:num>
  <w:num w:numId="2" w16cid:durableId="1812477573">
    <w:abstractNumId w:val="1"/>
  </w:num>
  <w:num w:numId="3" w16cid:durableId="1457797973">
    <w:abstractNumId w:val="9"/>
  </w:num>
  <w:num w:numId="4" w16cid:durableId="1614047067">
    <w:abstractNumId w:val="4"/>
  </w:num>
  <w:num w:numId="5" w16cid:durableId="1764254394">
    <w:abstractNumId w:val="6"/>
  </w:num>
  <w:num w:numId="6" w16cid:durableId="1032849597">
    <w:abstractNumId w:val="0"/>
  </w:num>
  <w:num w:numId="7" w16cid:durableId="1778744677">
    <w:abstractNumId w:val="7"/>
  </w:num>
  <w:num w:numId="8" w16cid:durableId="1743790427">
    <w:abstractNumId w:val="5"/>
  </w:num>
  <w:num w:numId="9" w16cid:durableId="1555652316">
    <w:abstractNumId w:val="8"/>
  </w:num>
  <w:num w:numId="10" w16cid:durableId="154868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E0"/>
    <w:rsid w:val="001D53E1"/>
    <w:rsid w:val="00B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DB4F"/>
  <w15:chartTrackingRefBased/>
  <w15:docId w15:val="{A50AE389-6DBC-4959-85F4-C68BB9D2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5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2656</Characters>
  <Application>Microsoft Office Word</Application>
  <DocSecurity>0</DocSecurity>
  <Lines>22</Lines>
  <Paragraphs>6</Paragraphs>
  <ScaleCrop>false</ScaleCrop>
  <Company>MV?O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2023-05-04T07:43:00Z</dcterms:created>
  <dcterms:modified xsi:type="dcterms:W3CDTF">2023-05-04T07:43:00Z</dcterms:modified>
</cp:coreProperties>
</file>