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26F" w:rsidRDefault="007A4A15" w:rsidP="002F6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Matematické aplikace v ekonomii</w:t>
      </w:r>
      <w:r w:rsidR="002F6762" w:rsidRPr="002F6762">
        <w:rPr>
          <w:rFonts w:ascii="Times New Roman" w:hAnsi="Times New Roman" w:cs="Times New Roman"/>
          <w:b/>
          <w:sz w:val="28"/>
          <w:szCs w:val="28"/>
        </w:rPr>
        <w:t xml:space="preserve"> zkouškové otázky</w:t>
      </w:r>
    </w:p>
    <w:p w:rsidR="002F6762" w:rsidRDefault="002F6762" w:rsidP="002F67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A15" w:rsidRDefault="007A4A15" w:rsidP="007A4A15">
      <w:pPr>
        <w:pStyle w:val="Normlnweb"/>
        <w:numPr>
          <w:ilvl w:val="0"/>
          <w:numId w:val="2"/>
        </w:numPr>
        <w:spacing w:before="106" w:beforeAutospacing="0" w:after="60" w:afterAutospacing="0"/>
        <w:rPr>
          <w:rFonts w:eastAsia="+mn-ea"/>
          <w:color w:val="404040"/>
          <w:kern w:val="24"/>
        </w:rPr>
      </w:pPr>
      <w:r w:rsidRPr="007A4A15">
        <w:rPr>
          <w:rFonts w:eastAsia="+mn-ea"/>
          <w:b/>
          <w:color w:val="404040"/>
          <w:kern w:val="24"/>
        </w:rPr>
        <w:t>Časové řady a jejich aplikace</w:t>
      </w:r>
      <w:r>
        <w:rPr>
          <w:rFonts w:eastAsia="+mn-ea"/>
          <w:color w:val="404040"/>
          <w:kern w:val="24"/>
        </w:rPr>
        <w:t>: časová řada, typy časových řad, průměry a míry dynamiky časových řad</w:t>
      </w:r>
      <w:r w:rsidR="00DD0893">
        <w:rPr>
          <w:rFonts w:eastAsia="+mn-ea"/>
          <w:color w:val="404040"/>
          <w:kern w:val="24"/>
        </w:rPr>
        <w:t xml:space="preserve"> (pojmy i ilustrovat na příkladech)</w:t>
      </w:r>
    </w:p>
    <w:p w:rsidR="00DE7618" w:rsidRDefault="00DE7618" w:rsidP="00DE7618">
      <w:pPr>
        <w:pStyle w:val="Normlnweb"/>
        <w:spacing w:before="106" w:beforeAutospacing="0" w:after="60" w:afterAutospacing="0"/>
        <w:ind w:left="432"/>
        <w:rPr>
          <w:rFonts w:eastAsia="+mn-ea"/>
          <w:color w:val="404040"/>
          <w:kern w:val="24"/>
        </w:rPr>
      </w:pPr>
    </w:p>
    <w:p w:rsidR="007A4A15" w:rsidRDefault="007A4A15" w:rsidP="007A4A15">
      <w:pPr>
        <w:pStyle w:val="Normlnweb"/>
        <w:numPr>
          <w:ilvl w:val="0"/>
          <w:numId w:val="2"/>
        </w:numPr>
        <w:spacing w:before="106" w:beforeAutospacing="0" w:after="60" w:afterAutospacing="0"/>
      </w:pPr>
      <w:r>
        <w:rPr>
          <w:rFonts w:eastAsia="+mn-ea"/>
          <w:b/>
          <w:color w:val="404040"/>
          <w:kern w:val="24"/>
        </w:rPr>
        <w:t>Rozklad časových řad</w:t>
      </w:r>
      <w:r w:rsidRPr="007A4A15">
        <w:t xml:space="preserve">: </w:t>
      </w:r>
      <w:r>
        <w:t>složky časové řady, typy trendu, interpolace a extrapolace</w:t>
      </w:r>
      <w:r w:rsidR="00DD0893">
        <w:t xml:space="preserve"> (vše i ilustrovat graficky)</w:t>
      </w:r>
    </w:p>
    <w:p w:rsidR="00DE7618" w:rsidRDefault="00DE7618" w:rsidP="00DE7618">
      <w:pPr>
        <w:pStyle w:val="Normlnweb"/>
        <w:spacing w:before="106" w:beforeAutospacing="0" w:after="60" w:afterAutospacing="0"/>
      </w:pPr>
    </w:p>
    <w:p w:rsidR="007A4A15" w:rsidRPr="00DD0893" w:rsidRDefault="007A4A15" w:rsidP="00DD0893">
      <w:pPr>
        <w:pStyle w:val="Normlnweb"/>
        <w:numPr>
          <w:ilvl w:val="0"/>
          <w:numId w:val="2"/>
        </w:numPr>
        <w:spacing w:before="106" w:beforeAutospacing="0" w:after="60" w:afterAutospacing="0"/>
        <w:rPr>
          <w:rFonts w:eastAsia="+mn-ea"/>
          <w:color w:val="404040"/>
          <w:kern w:val="24"/>
        </w:rPr>
      </w:pPr>
      <w:r w:rsidRPr="007A4A15">
        <w:rPr>
          <w:rFonts w:eastAsia="+mn-ea"/>
          <w:b/>
          <w:color w:val="404040"/>
          <w:kern w:val="24"/>
        </w:rPr>
        <w:t>Indexy</w:t>
      </w:r>
      <w:r>
        <w:rPr>
          <w:rFonts w:eastAsia="+mn-ea"/>
          <w:color w:val="404040"/>
          <w:kern w:val="24"/>
        </w:rPr>
        <w:t xml:space="preserve">: typy ukazatelů, </w:t>
      </w:r>
      <w:r w:rsidR="001763D4">
        <w:rPr>
          <w:rFonts w:eastAsia="+mn-ea"/>
          <w:color w:val="404040"/>
          <w:kern w:val="24"/>
        </w:rPr>
        <w:t>diference, indexy, příklady diferencí a indexů u časových řad</w:t>
      </w:r>
    </w:p>
    <w:p w:rsidR="00DE7618" w:rsidRDefault="00DE7618" w:rsidP="00DE7618">
      <w:pPr>
        <w:pStyle w:val="Normlnweb"/>
        <w:spacing w:before="106" w:beforeAutospacing="0" w:after="60" w:afterAutospacing="0"/>
      </w:pPr>
    </w:p>
    <w:p w:rsidR="0057743E" w:rsidRPr="00DE7618" w:rsidRDefault="007A4A15" w:rsidP="0057743E">
      <w:pPr>
        <w:pStyle w:val="Normlnweb"/>
        <w:numPr>
          <w:ilvl w:val="0"/>
          <w:numId w:val="2"/>
        </w:numPr>
        <w:spacing w:before="106" w:beforeAutospacing="0" w:after="60" w:afterAutospacing="0"/>
      </w:pPr>
      <w:r w:rsidRPr="0057743E">
        <w:rPr>
          <w:rFonts w:eastAsia="+mn-ea"/>
          <w:b/>
          <w:color w:val="404040"/>
          <w:kern w:val="24"/>
        </w:rPr>
        <w:t>Základní pojmy ve finanční matematice</w:t>
      </w:r>
      <w:r w:rsidR="0057743E">
        <w:rPr>
          <w:rFonts w:eastAsia="+mn-ea"/>
          <w:color w:val="404040"/>
          <w:kern w:val="24"/>
        </w:rPr>
        <w:t>: finanční matematika a gramotnost, úrok, věřitel a dlužník, úroková doba a úrokové období, úročení a jeho dělení</w:t>
      </w:r>
    </w:p>
    <w:p w:rsidR="00DE7618" w:rsidRPr="0057743E" w:rsidRDefault="00DE7618" w:rsidP="00DE7618">
      <w:pPr>
        <w:pStyle w:val="Normlnweb"/>
        <w:spacing w:before="106" w:beforeAutospacing="0" w:after="60" w:afterAutospacing="0"/>
      </w:pPr>
    </w:p>
    <w:p w:rsidR="00B123CB" w:rsidRPr="00DD0893" w:rsidRDefault="007A4A15" w:rsidP="00DD0893">
      <w:pPr>
        <w:pStyle w:val="Normlnweb"/>
        <w:numPr>
          <w:ilvl w:val="0"/>
          <w:numId w:val="2"/>
        </w:numPr>
        <w:spacing w:before="106" w:beforeAutospacing="0" w:after="60" w:afterAutospacing="0"/>
        <w:rPr>
          <w:rFonts w:eastAsia="+mn-ea"/>
          <w:color w:val="404040"/>
          <w:kern w:val="24"/>
        </w:rPr>
      </w:pPr>
      <w:r w:rsidRPr="0057743E">
        <w:rPr>
          <w:rFonts w:eastAsia="+mn-ea"/>
          <w:b/>
          <w:color w:val="404040"/>
          <w:kern w:val="24"/>
        </w:rPr>
        <w:t>Jednoduché úročení</w:t>
      </w:r>
      <w:r w:rsidR="0057743E">
        <w:rPr>
          <w:rFonts w:eastAsia="+mn-ea"/>
          <w:color w:val="404040"/>
          <w:kern w:val="24"/>
        </w:rPr>
        <w:t xml:space="preserve">: jednoduché polhůtní úročení, </w:t>
      </w:r>
      <w:r w:rsidR="00B123CB">
        <w:rPr>
          <w:rFonts w:eastAsia="+mn-ea"/>
          <w:color w:val="404040"/>
          <w:kern w:val="24"/>
        </w:rPr>
        <w:t>současná a budoucí hodnota kapitálu, jednoduché předlhůtní úročení, diskont</w:t>
      </w:r>
      <w:r w:rsidR="00DD0893">
        <w:rPr>
          <w:rFonts w:eastAsia="+mn-ea"/>
          <w:color w:val="404040"/>
          <w:kern w:val="24"/>
        </w:rPr>
        <w:t xml:space="preserve"> (pojmy i ilustrovat na příkladech)</w:t>
      </w:r>
    </w:p>
    <w:p w:rsidR="00DE7618" w:rsidRPr="00B123CB" w:rsidRDefault="00DE7618" w:rsidP="00DE7618">
      <w:pPr>
        <w:pStyle w:val="Normlnweb"/>
        <w:spacing w:before="106" w:beforeAutospacing="0" w:after="60" w:afterAutospacing="0"/>
      </w:pPr>
    </w:p>
    <w:p w:rsidR="00B123CB" w:rsidRPr="00533004" w:rsidRDefault="007A4A15" w:rsidP="00533004">
      <w:pPr>
        <w:pStyle w:val="Normlnweb"/>
        <w:numPr>
          <w:ilvl w:val="0"/>
          <w:numId w:val="2"/>
        </w:numPr>
        <w:spacing w:before="106" w:beforeAutospacing="0" w:after="60" w:afterAutospacing="0"/>
        <w:rPr>
          <w:rFonts w:eastAsia="+mn-ea"/>
          <w:color w:val="404040"/>
          <w:kern w:val="24"/>
        </w:rPr>
      </w:pPr>
      <w:r w:rsidRPr="00B123CB">
        <w:rPr>
          <w:rFonts w:eastAsia="+mn-ea"/>
          <w:b/>
          <w:color w:val="404040"/>
          <w:kern w:val="24"/>
        </w:rPr>
        <w:t>Složené úročení</w:t>
      </w:r>
      <w:r w:rsidR="00B123CB">
        <w:rPr>
          <w:rFonts w:eastAsia="+mn-ea"/>
          <w:color w:val="404040"/>
          <w:kern w:val="24"/>
        </w:rPr>
        <w:t>: polhůtní složené úročení, úročitel a odúročitel, úročení s častějším připisováním úroků, smíšené úročení</w:t>
      </w:r>
      <w:r w:rsidRPr="00B123CB">
        <w:rPr>
          <w:rFonts w:eastAsia="+mn-ea"/>
          <w:color w:val="404040"/>
          <w:kern w:val="24"/>
        </w:rPr>
        <w:t xml:space="preserve"> </w:t>
      </w:r>
      <w:r w:rsidR="00533004">
        <w:rPr>
          <w:rFonts w:eastAsia="+mn-ea"/>
          <w:color w:val="404040"/>
          <w:kern w:val="24"/>
        </w:rPr>
        <w:t>(pojmy i ilustrovat na příkladech)</w:t>
      </w:r>
      <w:r w:rsidRPr="00533004">
        <w:rPr>
          <w:rFonts w:eastAsia="+mn-ea"/>
          <w:color w:val="404040"/>
          <w:kern w:val="24"/>
        </w:rPr>
        <w:t xml:space="preserve">  </w:t>
      </w:r>
    </w:p>
    <w:p w:rsidR="00DE7618" w:rsidRPr="00B123CB" w:rsidRDefault="00DE7618" w:rsidP="00DE7618">
      <w:pPr>
        <w:pStyle w:val="Normlnweb"/>
        <w:spacing w:before="106" w:beforeAutospacing="0" w:after="60" w:afterAutospacing="0"/>
      </w:pPr>
    </w:p>
    <w:p w:rsidR="00B123CB" w:rsidRPr="00DE7618" w:rsidRDefault="00B123CB" w:rsidP="00B123CB">
      <w:pPr>
        <w:pStyle w:val="Normlnweb"/>
        <w:numPr>
          <w:ilvl w:val="0"/>
          <w:numId w:val="2"/>
        </w:numPr>
        <w:spacing w:before="106" w:beforeAutospacing="0" w:after="60" w:afterAutospacing="0"/>
      </w:pPr>
      <w:r w:rsidRPr="00B123CB">
        <w:rPr>
          <w:rFonts w:eastAsia="+mn-ea"/>
          <w:b/>
          <w:color w:val="404040"/>
          <w:kern w:val="24"/>
        </w:rPr>
        <w:t>I</w:t>
      </w:r>
      <w:r w:rsidR="007A4A15" w:rsidRPr="00B123CB">
        <w:rPr>
          <w:rFonts w:eastAsia="+mn-ea"/>
          <w:b/>
          <w:color w:val="404040"/>
          <w:kern w:val="24"/>
        </w:rPr>
        <w:t>nvestiční rozhodování</w:t>
      </w:r>
      <w:r>
        <w:rPr>
          <w:rFonts w:eastAsia="+mn-ea"/>
          <w:color w:val="404040"/>
          <w:kern w:val="24"/>
        </w:rPr>
        <w:t xml:space="preserve">: investiční trojúhelník, </w:t>
      </w:r>
      <w:r w:rsidR="00603460">
        <w:rPr>
          <w:rFonts w:eastAsia="+mn-ea"/>
          <w:color w:val="404040"/>
          <w:kern w:val="24"/>
        </w:rPr>
        <w:t>kritéria,</w:t>
      </w:r>
      <w:r>
        <w:rPr>
          <w:rFonts w:eastAsia="+mn-ea"/>
          <w:color w:val="404040"/>
          <w:kern w:val="24"/>
        </w:rPr>
        <w:t xml:space="preserve"> podle kterých se analyzuje výnosnost investice (pravidlo čisté současné hodnoty, pravidlo vnitřní míry výnosnosti)</w:t>
      </w:r>
      <w:r w:rsidR="00533004">
        <w:rPr>
          <w:rFonts w:eastAsia="+mn-ea"/>
          <w:color w:val="404040"/>
          <w:kern w:val="24"/>
        </w:rPr>
        <w:t>, vysvětlit také na konkrétních vlastních příkladech</w:t>
      </w:r>
    </w:p>
    <w:p w:rsidR="00DE7618" w:rsidRPr="00B123CB" w:rsidRDefault="00DE7618" w:rsidP="00DE7618">
      <w:pPr>
        <w:pStyle w:val="Normlnweb"/>
        <w:spacing w:before="106" w:beforeAutospacing="0" w:after="60" w:afterAutospacing="0"/>
      </w:pPr>
    </w:p>
    <w:p w:rsidR="00B123CB" w:rsidRDefault="007A4A15" w:rsidP="00B123CB">
      <w:pPr>
        <w:pStyle w:val="Normlnweb"/>
        <w:numPr>
          <w:ilvl w:val="0"/>
          <w:numId w:val="2"/>
        </w:numPr>
        <w:spacing w:before="106" w:beforeAutospacing="0" w:after="60" w:afterAutospacing="0"/>
      </w:pPr>
      <w:r w:rsidRPr="00B123CB">
        <w:rPr>
          <w:rFonts w:eastAsia="+mn-ea"/>
          <w:b/>
          <w:color w:val="404040"/>
          <w:kern w:val="24"/>
        </w:rPr>
        <w:t>Spoření</w:t>
      </w:r>
      <w:r w:rsidR="00B123CB" w:rsidRPr="00B123CB">
        <w:t>:</w:t>
      </w:r>
      <w:r w:rsidR="00B123CB">
        <w:t xml:space="preserve"> spoření, typy spoření (krátkodobé,…, předlhůtní,…)</w:t>
      </w:r>
      <w:r w:rsidR="005B72DF">
        <w:t xml:space="preserve">, </w:t>
      </w:r>
      <w:r w:rsidR="005B72DF">
        <w:rPr>
          <w:rFonts w:eastAsia="+mn-ea"/>
          <w:color w:val="404040"/>
          <w:kern w:val="24"/>
        </w:rPr>
        <w:t>vysvětlit také na konkrétních vlastních příkladech</w:t>
      </w:r>
    </w:p>
    <w:p w:rsidR="00DE7618" w:rsidRDefault="00DE7618" w:rsidP="00DE7618">
      <w:pPr>
        <w:pStyle w:val="Normlnweb"/>
        <w:spacing w:before="106" w:beforeAutospacing="0" w:after="60" w:afterAutospacing="0"/>
      </w:pPr>
    </w:p>
    <w:p w:rsidR="00DE7618" w:rsidRPr="00DE7618" w:rsidRDefault="007A4A15" w:rsidP="00DE7618">
      <w:pPr>
        <w:pStyle w:val="Normlnweb"/>
        <w:numPr>
          <w:ilvl w:val="0"/>
          <w:numId w:val="2"/>
        </w:numPr>
        <w:spacing w:before="106" w:beforeAutospacing="0" w:after="60" w:afterAutospacing="0"/>
      </w:pPr>
      <w:r w:rsidRPr="00B123CB">
        <w:rPr>
          <w:rFonts w:eastAsia="+mn-ea"/>
          <w:b/>
          <w:color w:val="404040"/>
          <w:kern w:val="24"/>
        </w:rPr>
        <w:t>Důchody</w:t>
      </w:r>
      <w:r w:rsidR="00B123CB">
        <w:rPr>
          <w:rFonts w:eastAsia="+mn-ea"/>
          <w:color w:val="404040"/>
          <w:kern w:val="24"/>
        </w:rPr>
        <w:t xml:space="preserve">: důchod, současná a budoucí hodnota důchodu, klasifikace důchodů (dočasný, …, předlhůtní, …, </w:t>
      </w:r>
      <w:r w:rsidR="00DE7618">
        <w:rPr>
          <w:rFonts w:eastAsia="+mn-ea"/>
          <w:color w:val="404040"/>
          <w:kern w:val="24"/>
        </w:rPr>
        <w:t>bezprostřední,…, roční,…</w:t>
      </w:r>
      <w:r w:rsidR="00B123CB">
        <w:rPr>
          <w:rFonts w:eastAsia="+mn-ea"/>
          <w:color w:val="404040"/>
          <w:kern w:val="24"/>
        </w:rPr>
        <w:t>)</w:t>
      </w:r>
      <w:r w:rsidR="005B72DF">
        <w:rPr>
          <w:rFonts w:eastAsia="+mn-ea"/>
          <w:color w:val="404040"/>
          <w:kern w:val="24"/>
        </w:rPr>
        <w:t>, vysvětlit také na konkrétních vlastních příkladech</w:t>
      </w:r>
      <w:r w:rsidRPr="00B123CB">
        <w:rPr>
          <w:rFonts w:eastAsia="+mn-ea"/>
          <w:color w:val="404040"/>
          <w:kern w:val="24"/>
        </w:rPr>
        <w:t xml:space="preserve">    </w:t>
      </w:r>
    </w:p>
    <w:p w:rsidR="00DE7618" w:rsidRPr="00DE7618" w:rsidRDefault="007A4A15" w:rsidP="00DE7618">
      <w:pPr>
        <w:pStyle w:val="Normlnweb"/>
        <w:spacing w:before="106" w:beforeAutospacing="0" w:after="60" w:afterAutospacing="0"/>
      </w:pPr>
      <w:r w:rsidRPr="00B123CB">
        <w:rPr>
          <w:rFonts w:eastAsia="+mn-ea"/>
          <w:color w:val="404040"/>
          <w:kern w:val="24"/>
        </w:rPr>
        <w:t xml:space="preserve">  </w:t>
      </w:r>
    </w:p>
    <w:p w:rsidR="00DE7618" w:rsidRPr="00DE7618" w:rsidRDefault="007A4A15" w:rsidP="00DE7618">
      <w:pPr>
        <w:pStyle w:val="Normlnweb"/>
        <w:numPr>
          <w:ilvl w:val="0"/>
          <w:numId w:val="2"/>
        </w:numPr>
        <w:spacing w:before="106" w:beforeAutospacing="0" w:after="60" w:afterAutospacing="0"/>
      </w:pPr>
      <w:r w:rsidRPr="00DE7618">
        <w:rPr>
          <w:rFonts w:eastAsia="+mn-ea"/>
          <w:b/>
          <w:color w:val="404040"/>
          <w:kern w:val="24"/>
        </w:rPr>
        <w:t>Úvěry</w:t>
      </w:r>
      <w:r w:rsidR="00DE7618" w:rsidRPr="00DE7618">
        <w:rPr>
          <w:rFonts w:eastAsia="+mn-ea"/>
          <w:color w:val="404040"/>
          <w:kern w:val="24"/>
        </w:rPr>
        <w:t>: úvěr, umořovací plán, splácení splátkami stejné výše, splácení při konstantním úmor</w:t>
      </w:r>
      <w:r w:rsidR="00DE7618">
        <w:rPr>
          <w:rFonts w:eastAsia="+mn-ea"/>
          <w:color w:val="404040"/>
          <w:kern w:val="24"/>
        </w:rPr>
        <w:t>u</w:t>
      </w:r>
      <w:r w:rsidR="00426476">
        <w:rPr>
          <w:rFonts w:eastAsia="+mn-ea"/>
          <w:color w:val="404040"/>
          <w:kern w:val="24"/>
        </w:rPr>
        <w:t xml:space="preserve"> (druhy splácení </w:t>
      </w:r>
      <w:bookmarkStart w:id="0" w:name="_GoBack"/>
      <w:bookmarkEnd w:id="0"/>
      <w:r w:rsidR="00426476">
        <w:rPr>
          <w:rFonts w:eastAsia="+mn-ea"/>
          <w:color w:val="404040"/>
          <w:kern w:val="24"/>
        </w:rPr>
        <w:t>vysvětlit na konkrétních příkladech)</w:t>
      </w:r>
      <w:r w:rsidR="00AF134F">
        <w:rPr>
          <w:rFonts w:eastAsia="+mn-ea"/>
          <w:color w:val="404040"/>
          <w:kern w:val="24"/>
        </w:rPr>
        <w:t xml:space="preserve"> </w:t>
      </w:r>
    </w:p>
    <w:p w:rsidR="00DE7618" w:rsidRPr="00DE7618" w:rsidRDefault="00DE7618" w:rsidP="00DE7618">
      <w:pPr>
        <w:pStyle w:val="Normlnweb"/>
        <w:spacing w:before="106" w:beforeAutospacing="0" w:after="60" w:afterAutospacing="0"/>
      </w:pPr>
    </w:p>
    <w:p w:rsidR="00193EAC" w:rsidRPr="00DE7618" w:rsidRDefault="00193EAC" w:rsidP="002455A9">
      <w:pPr>
        <w:pStyle w:val="Normlnweb"/>
        <w:spacing w:before="106" w:beforeAutospacing="0" w:after="60" w:afterAutospacing="0"/>
        <w:ind w:left="432"/>
      </w:pPr>
    </w:p>
    <w:sectPr w:rsidR="00193EAC" w:rsidRPr="00DE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13EA2"/>
    <w:multiLevelType w:val="hybridMultilevel"/>
    <w:tmpl w:val="AEBCE488"/>
    <w:lvl w:ilvl="0" w:tplc="C1C4EE4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49DB2473"/>
    <w:multiLevelType w:val="hybridMultilevel"/>
    <w:tmpl w:val="47AC1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62"/>
    <w:rsid w:val="00015C99"/>
    <w:rsid w:val="001763D4"/>
    <w:rsid w:val="00193EAC"/>
    <w:rsid w:val="002455A9"/>
    <w:rsid w:val="002F6762"/>
    <w:rsid w:val="00345A8C"/>
    <w:rsid w:val="00370814"/>
    <w:rsid w:val="00426476"/>
    <w:rsid w:val="00510A6F"/>
    <w:rsid w:val="00533004"/>
    <w:rsid w:val="0057743E"/>
    <w:rsid w:val="005B72DF"/>
    <w:rsid w:val="00603460"/>
    <w:rsid w:val="00614916"/>
    <w:rsid w:val="00646575"/>
    <w:rsid w:val="00681AEE"/>
    <w:rsid w:val="006A403B"/>
    <w:rsid w:val="00700AB4"/>
    <w:rsid w:val="007A4A15"/>
    <w:rsid w:val="007B2E70"/>
    <w:rsid w:val="00802234"/>
    <w:rsid w:val="008168D4"/>
    <w:rsid w:val="009F6399"/>
    <w:rsid w:val="00A4771B"/>
    <w:rsid w:val="00AB2384"/>
    <w:rsid w:val="00AF134F"/>
    <w:rsid w:val="00B123CB"/>
    <w:rsid w:val="00C0026F"/>
    <w:rsid w:val="00DD0893"/>
    <w:rsid w:val="00DE7618"/>
    <w:rsid w:val="00E136ED"/>
    <w:rsid w:val="00EC65B3"/>
    <w:rsid w:val="00F30963"/>
    <w:rsid w:val="00F4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BA74"/>
  <w15:chartTrackingRefBased/>
  <w15:docId w15:val="{617B03FD-480F-4C8E-8399-7B736A28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676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A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Martina Pavlackova</cp:lastModifiedBy>
  <cp:revision>3</cp:revision>
  <dcterms:created xsi:type="dcterms:W3CDTF">2020-11-27T07:32:00Z</dcterms:created>
  <dcterms:modified xsi:type="dcterms:W3CDTF">2020-11-27T07:32:00Z</dcterms:modified>
</cp:coreProperties>
</file>