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658A2">
        <w:rPr>
          <w:rFonts w:ascii="Times New Roman" w:hAnsi="Times New Roman" w:cs="Times New Roman"/>
          <w:b/>
          <w:bCs/>
          <w:sz w:val="24"/>
          <w:szCs w:val="24"/>
          <w:u w:val="single"/>
        </w:rPr>
        <w:t>IAS 8 – ÚČETNÍ POLITIKY, ZMĚNY V ÚČETNÍCH ODHADECH, CHYBY</w:t>
      </w:r>
    </w:p>
    <w:p w:rsidR="00F658A2" w:rsidRP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60CE8" w:rsidRPr="00C94236" w:rsidRDefault="0062390E" w:rsidP="00F658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Podmínky výběru účetní politiky</w:t>
      </w:r>
    </w:p>
    <w:p w:rsidR="00860CE8" w:rsidRPr="00C94236" w:rsidRDefault="0062390E" w:rsidP="00F658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Způsob účetního zachycení změn v účetních politikách, odhadech, opravy chyb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F658A2" w:rsidRDefault="00E339BC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</w:t>
      </w:r>
    </w:p>
    <w:p w:rsidR="00860CE8" w:rsidRPr="00C94236" w:rsidRDefault="0062390E" w:rsidP="00F658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Principy, východiska, zvyklosti, pravidla, postupy, které jsou využívány pří přípravě účetních výkazů</w:t>
      </w:r>
    </w:p>
    <w:p w:rsidR="00860CE8" w:rsidRPr="00C94236" w:rsidRDefault="0062390E" w:rsidP="00F658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Konkrétní účetní politiky uvádí jednotlivé standardy, pokud není volba upravena standardem, postupuje se dle IAS 8 a vychází se ze standardů a interpretací zabývající se obdobnou oblastí </w:t>
      </w:r>
    </w:p>
    <w:p w:rsidR="00860CE8" w:rsidRPr="00C94236" w:rsidRDefault="0062390E" w:rsidP="00F658A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Je nutno dodržovat konzistenci – stálost metod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Změna účetní politiky </w:t>
      </w:r>
    </w:p>
    <w:p w:rsidR="00860CE8" w:rsidRPr="00C94236" w:rsidRDefault="0062390E" w:rsidP="00F658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Provádí se retrospektivně = taková změna, jako kdyby byla uvedená účetní politika vždy používána </w:t>
      </w:r>
    </w:p>
    <w:p w:rsidR="00860CE8" w:rsidRPr="00C94236" w:rsidRDefault="0062390E" w:rsidP="00F658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Dopad změn se zachytí do nerozděleného zisku</w:t>
      </w:r>
    </w:p>
    <w:p w:rsidR="00860CE8" w:rsidRPr="00C94236" w:rsidRDefault="0062390E" w:rsidP="00F658A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IAS 8 uvádí výjimky, kdy je retrospektivní aplikace neproveditelná (např. pokud nelze určit účinek změny účetní politiky)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Zveřejnění</w:t>
      </w:r>
    </w:p>
    <w:p w:rsidR="00860CE8" w:rsidRPr="00C94236" w:rsidRDefault="0062390E" w:rsidP="00F658A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Název standardu, interpretace vyžadující změnu</w:t>
      </w:r>
    </w:p>
    <w:p w:rsidR="00860CE8" w:rsidRPr="00C94236" w:rsidRDefault="0062390E" w:rsidP="00F658A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Zda je postupováno dle přechodných ustanovení standardu </w:t>
      </w:r>
    </w:p>
    <w:p w:rsidR="00860CE8" w:rsidRPr="00C94236" w:rsidRDefault="0062390E" w:rsidP="00F658A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Skutečnosti, které vedly k tomu, že není aplikován retrospektivní dopad</w:t>
      </w:r>
    </w:p>
    <w:p w:rsidR="00860CE8" w:rsidRPr="00C94236" w:rsidRDefault="0062390E" w:rsidP="00F658A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Podstata změny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F658A2" w:rsidRDefault="00E339BC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…………………………………….</w:t>
      </w:r>
    </w:p>
    <w:p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Nedobytné pohledávky</w:t>
      </w:r>
    </w:p>
    <w:p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Zastaralé zásoby</w:t>
      </w:r>
    </w:p>
    <w:p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Doba životnosti dlouhodobých aktiv </w:t>
      </w:r>
    </w:p>
    <w:p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Reálná hodnota aktiva </w:t>
      </w:r>
    </w:p>
    <w:p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Úprava účetní hodnoty aktiva, závazku</w:t>
      </w:r>
    </w:p>
    <w:p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Vznikla na základě nových informací nebo okolností a nepovažuje se opravu chyb, neboť k chybnému posouzení v minulosti nedošlo </w:t>
      </w:r>
    </w:p>
    <w:p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Změna se provádí prospektivně v období, kdy ke změně došlo </w:t>
      </w:r>
    </w:p>
    <w:p w:rsidR="00860CE8" w:rsidRPr="00C94236" w:rsidRDefault="0062390E" w:rsidP="00F658A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Účetní jednotka zveřejní povahu změny a dopad změn v běžném a v budoucích obdobích </w:t>
      </w:r>
    </w:p>
    <w:p w:rsidR="00C94236" w:rsidRPr="00C94236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CDA7A" wp14:editId="1B764194">
                <wp:simplePos x="0" y="0"/>
                <wp:positionH relativeFrom="column">
                  <wp:posOffset>-62230</wp:posOffset>
                </wp:positionH>
                <wp:positionV relativeFrom="paragraph">
                  <wp:posOffset>127000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9" o:spid="_x0000_s1026" style="position:absolute;margin-left:-4.9pt;margin-top:10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236">
        <w:rPr>
          <w:rFonts w:ascii="Times New Roman" w:hAnsi="Times New Roman" w:cs="Times New Roman"/>
          <w:b/>
          <w:sz w:val="24"/>
          <w:szCs w:val="24"/>
        </w:rPr>
        <w:t>Příklad 1 – Účetní odhady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Cukrárna U Mlsouna, s.r.o., zakoupila stroj na výrobu zmrzliny ve vstupní ceně 400 000 Kč a stanovila dobu životnosti stroje na 10 let. Na základě uvedeného je účetní odpis stroje za každý rok 40 000 Kč. Tržby v roce 2021 vykazuje účetní jednotka na 80 000 Kč.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Základní kapitál k </w:t>
      </w:r>
      <w:proofErr w:type="gramStart"/>
      <w:r w:rsidRPr="00C94236">
        <w:rPr>
          <w:rFonts w:ascii="Times New Roman" w:hAnsi="Times New Roman" w:cs="Times New Roman"/>
          <w:sz w:val="24"/>
          <w:szCs w:val="24"/>
        </w:rPr>
        <w:t>1.1.2021</w:t>
      </w:r>
      <w:proofErr w:type="gramEnd"/>
      <w:r w:rsidRPr="00C94236">
        <w:rPr>
          <w:rFonts w:ascii="Times New Roman" w:hAnsi="Times New Roman" w:cs="Times New Roman"/>
          <w:sz w:val="24"/>
          <w:szCs w:val="24"/>
        </w:rPr>
        <w:t xml:space="preserve"> je celkem 500 000 Kč a je tvořen peněžitými vklady. </w:t>
      </w:r>
    </w:p>
    <w:p w:rsid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V roce 2022 došlo ke změně účetního odhadu a očekávaná životnost stroje je 8 let. Tržby zůstávají na hodnotě 80 000 Kč.</w:t>
      </w:r>
    </w:p>
    <w:p w:rsidR="00F658A2" w:rsidRPr="00C94236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pStyle w:val="Odstavecseseznamem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lastRenderedPageBreak/>
        <w:t>Sestavte rozvahu k </w:t>
      </w:r>
      <w:proofErr w:type="gramStart"/>
      <w:r w:rsidRPr="00C94236">
        <w:rPr>
          <w:rFonts w:ascii="Times New Roman" w:hAnsi="Times New Roman" w:cs="Times New Roman"/>
          <w:sz w:val="24"/>
          <w:szCs w:val="24"/>
        </w:rPr>
        <w:t>1.1.2021</w:t>
      </w:r>
      <w:proofErr w:type="gramEnd"/>
      <w:r w:rsidRPr="00C94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pStyle w:val="Odstavecseseznamem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Sestavte výkaz rozvahy k </w:t>
      </w:r>
      <w:proofErr w:type="gramStart"/>
      <w:r w:rsidRPr="00C94236">
        <w:rPr>
          <w:rFonts w:ascii="Times New Roman" w:hAnsi="Times New Roman" w:cs="Times New Roman"/>
          <w:sz w:val="24"/>
          <w:szCs w:val="24"/>
        </w:rPr>
        <w:t>31.12. 2021</w:t>
      </w:r>
      <w:proofErr w:type="gramEnd"/>
      <w:r w:rsidRPr="00C94236">
        <w:rPr>
          <w:rFonts w:ascii="Times New Roman" w:hAnsi="Times New Roman" w:cs="Times New Roman"/>
          <w:sz w:val="24"/>
          <w:szCs w:val="24"/>
        </w:rPr>
        <w:t xml:space="preserve"> a výkaz zisku a ztráty za rok 2021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C94236" w:rsidRPr="00C94236" w:rsidTr="00D02373">
        <w:tc>
          <w:tcPr>
            <w:tcW w:w="76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02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3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částka </w:t>
            </w: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94236" w:rsidRPr="00C94236" w:rsidTr="00D02373">
        <w:tc>
          <w:tcPr>
            <w:tcW w:w="76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VPD – nákup stroje </w:t>
            </w:r>
          </w:p>
        </w:tc>
        <w:tc>
          <w:tcPr>
            <w:tcW w:w="13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6" w:rsidRPr="00C94236" w:rsidTr="00D02373">
        <w:tc>
          <w:tcPr>
            <w:tcW w:w="76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ID – odpis stroje </w:t>
            </w:r>
          </w:p>
        </w:tc>
        <w:tc>
          <w:tcPr>
            <w:tcW w:w="13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6" w:rsidRPr="00C94236" w:rsidTr="00D02373">
        <w:tc>
          <w:tcPr>
            <w:tcW w:w="76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2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PPD – tržby za prodej </w:t>
            </w:r>
          </w:p>
        </w:tc>
        <w:tc>
          <w:tcPr>
            <w:tcW w:w="13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pStyle w:val="Odstavecseseznamem"/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Sestavte výkaz rozvahy k </w:t>
      </w:r>
      <w:proofErr w:type="gramStart"/>
      <w:r w:rsidRPr="00C94236">
        <w:rPr>
          <w:rFonts w:ascii="Times New Roman" w:hAnsi="Times New Roman" w:cs="Times New Roman"/>
          <w:sz w:val="24"/>
          <w:szCs w:val="24"/>
        </w:rPr>
        <w:t>31.12.2021</w:t>
      </w:r>
      <w:proofErr w:type="gramEnd"/>
      <w:r w:rsidRPr="00C94236">
        <w:rPr>
          <w:rFonts w:ascii="Times New Roman" w:hAnsi="Times New Roman" w:cs="Times New Roman"/>
          <w:sz w:val="24"/>
          <w:szCs w:val="24"/>
        </w:rPr>
        <w:t xml:space="preserve"> a výkaz zisku a ztráty za rok 2021 po zohlednění změny účetního odhadu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Odpis =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C94236" w:rsidRPr="00C94236" w:rsidTr="00D02373">
        <w:tc>
          <w:tcPr>
            <w:tcW w:w="76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02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3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částka </w:t>
            </w: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94236" w:rsidRPr="00C94236" w:rsidTr="00D02373">
        <w:tc>
          <w:tcPr>
            <w:tcW w:w="76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236" w:rsidRPr="00C94236" w:rsidTr="00D02373">
        <w:tc>
          <w:tcPr>
            <w:tcW w:w="76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2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C94236" w:rsidRPr="00C94236" w:rsidRDefault="00C94236" w:rsidP="00F658A2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Výkaz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lastRenderedPageBreak/>
        <w:t xml:space="preserve">Výkaz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Celkem </w:t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94236">
        <w:rPr>
          <w:rFonts w:ascii="Times New Roman" w:hAnsi="Times New Roman" w:cs="Times New Roman"/>
          <w:sz w:val="24"/>
          <w:szCs w:val="24"/>
        </w:rPr>
        <w:t>Celkem</w:t>
      </w:r>
      <w:proofErr w:type="spellEnd"/>
      <w:r w:rsidRPr="00C94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F658A2" w:rsidRDefault="00E339BC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…………………………………</w:t>
      </w:r>
      <w:bookmarkStart w:id="0" w:name="_GoBack"/>
      <w:bookmarkEnd w:id="0"/>
    </w:p>
    <w:p w:rsidR="00860CE8" w:rsidRPr="00C94236" w:rsidRDefault="0062390E" w:rsidP="00F658A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Matematické chyby, omyly v používání účetních zásad, přehlédnutí nebo špatné posouzení skutečnosti v době, kdy byly sestaveny účetní výkazy</w:t>
      </w:r>
    </w:p>
    <w:p w:rsidR="00860CE8" w:rsidRPr="00C94236" w:rsidRDefault="0062390E" w:rsidP="00F658A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Významné chyby – nutnost retrospektivní opravy </w:t>
      </w:r>
    </w:p>
    <w:p w:rsidR="00C94236" w:rsidRPr="00C94236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CEF4F6" wp14:editId="1A983B24">
                <wp:simplePos x="0" y="0"/>
                <wp:positionH relativeFrom="column">
                  <wp:posOffset>-14605</wp:posOffset>
                </wp:positionH>
                <wp:positionV relativeFrom="paragraph">
                  <wp:posOffset>151130</wp:posOffset>
                </wp:positionV>
                <wp:extent cx="5779770" cy="241300"/>
                <wp:effectExtent l="0" t="0" r="11430" b="254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1.15pt;margin-top:11.9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tTz1QIAAKk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236">
        <w:rPr>
          <w:rFonts w:ascii="Times New Roman" w:hAnsi="Times New Roman" w:cs="Times New Roman"/>
          <w:b/>
          <w:sz w:val="24"/>
          <w:szCs w:val="24"/>
        </w:rPr>
        <w:t xml:space="preserve">Příklad 2 – Oprava chyby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Těžební společnost vykazuje ve výkazu rozvahy rezervu na rekultivaci dolu v hodnotě 10 000 000 Kč. Dle doporučení auditora by rezerva měla být v hodnotě celkem 15 000 000 Kč, a to tak že v každém období mělo být vytvořeno 7 500 000 Kč.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Účetní jednotka má v nákladech v souvislosti s tvorbou rezervy v roce 2021 celkem 5 000 000 Kč, v roce 2022 celkem 5 000 000 Kč. Proveďte retrospektivní opravu této chyby.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Účetní období 2021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Účetní období 2022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B29CBF" wp14:editId="7C34121E">
                <wp:simplePos x="0" y="0"/>
                <wp:positionH relativeFrom="column">
                  <wp:posOffset>-71755</wp:posOffset>
                </wp:positionH>
                <wp:positionV relativeFrom="paragraph">
                  <wp:posOffset>133350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5.65pt;margin-top:10.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236">
        <w:rPr>
          <w:rFonts w:ascii="Times New Roman" w:hAnsi="Times New Roman" w:cs="Times New Roman"/>
          <w:b/>
          <w:sz w:val="24"/>
          <w:szCs w:val="24"/>
        </w:rPr>
        <w:t xml:space="preserve">Příklad 3 – Oprava chyby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Stavby s.r.o. dosáhly za rok 2021 zisku 100 000 Kč před zdaněním. Účetní společnosti v roce 2022 zjistila, že do nákladů roku 2021 nebyly zaúčtovány odpisy stroje ve výši 80 000 Kč. Proveďte opravu této chyby retrospektivní aplikací.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Výkaz zisku a ztráty 2021</w:t>
      </w:r>
    </w:p>
    <w:p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tabs>
          <w:tab w:val="left" w:pos="3930"/>
        </w:tabs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ab/>
      </w:r>
    </w:p>
    <w:p w:rsidR="00C94236" w:rsidRPr="00C94236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28CE8" wp14:editId="6894946B">
                <wp:simplePos x="0" y="0"/>
                <wp:positionH relativeFrom="column">
                  <wp:posOffset>-62230</wp:posOffset>
                </wp:positionH>
                <wp:positionV relativeFrom="paragraph">
                  <wp:posOffset>132080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4.9pt;margin-top:10.4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236">
        <w:rPr>
          <w:rFonts w:ascii="Times New Roman" w:hAnsi="Times New Roman" w:cs="Times New Roman"/>
          <w:b/>
          <w:sz w:val="24"/>
          <w:szCs w:val="24"/>
        </w:rPr>
        <w:t xml:space="preserve">Příklad 4 – Oprava chyby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236">
        <w:rPr>
          <w:rFonts w:ascii="Times New Roman" w:hAnsi="Times New Roman" w:cs="Times New Roman"/>
          <w:sz w:val="24"/>
          <w:szCs w:val="24"/>
        </w:rPr>
        <w:t>Frozen</w:t>
      </w:r>
      <w:proofErr w:type="spellEnd"/>
      <w:r w:rsidRPr="00C94236">
        <w:rPr>
          <w:rFonts w:ascii="Times New Roman" w:hAnsi="Times New Roman" w:cs="Times New Roman"/>
          <w:sz w:val="24"/>
          <w:szCs w:val="24"/>
        </w:rPr>
        <w:t>, a.s. zjistila, že v roce 2021, že nezaúčtovala inventarizační rozdíl ve skladu materiálu – manko do normy 10 000 Kč. Za rok 2021 vykazuje účetní jednotka níže uvedenou strukturu nákladů a výnosů: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Tržby za prodej výrobků </w:t>
      </w:r>
      <w:r w:rsidRPr="00C94236">
        <w:rPr>
          <w:rFonts w:ascii="Times New Roman" w:hAnsi="Times New Roman" w:cs="Times New Roman"/>
          <w:sz w:val="24"/>
          <w:szCs w:val="24"/>
        </w:rPr>
        <w:tab/>
        <w:t>1 000 000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Spotřeba materiálu</w:t>
      </w:r>
      <w:r w:rsidRPr="00C94236">
        <w:rPr>
          <w:rFonts w:ascii="Times New Roman" w:hAnsi="Times New Roman" w:cs="Times New Roman"/>
          <w:sz w:val="24"/>
          <w:szCs w:val="24"/>
        </w:rPr>
        <w:tab/>
      </w:r>
      <w:r w:rsidRPr="00C94236">
        <w:rPr>
          <w:rFonts w:ascii="Times New Roman" w:hAnsi="Times New Roman" w:cs="Times New Roman"/>
          <w:sz w:val="24"/>
          <w:szCs w:val="24"/>
        </w:rPr>
        <w:tab/>
        <w:t xml:space="preserve">   660 000 (bez zaúčtovaného manka do normy)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Předpokládejte počáteční stav nerozděleného zisku za rok 2021 ve výši 100 000 Kč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pStyle w:val="Odstavecseseznamem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Výpočet výsledku hospodaření – účetní / čistý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Výsledek hospodaření =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Daňová povinnost =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Čistý zisk =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pStyle w:val="Odstavecseseznamem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Sestavte opravný výkaz výsledovky za rok 2021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>Výkaz výsledovky za rok 2021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pStyle w:val="Odstavecseseznamem"/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236">
        <w:rPr>
          <w:rFonts w:ascii="Times New Roman" w:hAnsi="Times New Roman" w:cs="Times New Roman"/>
          <w:sz w:val="24"/>
          <w:szCs w:val="24"/>
        </w:rPr>
        <w:t xml:space="preserve">Vyhodnocení dopadů změn na účetnictví roku 2021 </w:t>
      </w: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4236" w:rsidRP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236" w:rsidRDefault="00C9423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368" w:rsidRDefault="00EA5368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368" w:rsidRPr="002975E2" w:rsidRDefault="00EA5368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1"/>
        <w:gridCol w:w="3119"/>
        <w:gridCol w:w="2976"/>
      </w:tblGrid>
      <w:tr w:rsidR="008C69A0" w:rsidRPr="008C69A0" w:rsidTr="008C69A0">
        <w:trPr>
          <w:trHeight w:val="584"/>
        </w:trPr>
        <w:tc>
          <w:tcPr>
            <w:tcW w:w="3121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2975E2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75E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lastRenderedPageBreak/>
              <w:t xml:space="preserve">Oblast </w:t>
            </w:r>
          </w:p>
        </w:tc>
        <w:tc>
          <w:tcPr>
            <w:tcW w:w="3119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2975E2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75E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IFRS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2975E2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2975E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ČÚP</w:t>
            </w:r>
          </w:p>
        </w:tc>
      </w:tr>
      <w:tr w:rsidR="008C69A0" w:rsidRPr="008C69A0" w:rsidTr="008C69A0">
        <w:trPr>
          <w:trHeight w:val="584"/>
        </w:trPr>
        <w:tc>
          <w:tcPr>
            <w:tcW w:w="312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Změna účetního pravidla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Možnost retrospektivní aplikace, přepracování srovnávacích informací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Případné změny jsou součástí mimořádných nákladů nebo výnosů.</w:t>
            </w:r>
          </w:p>
        </w:tc>
      </w:tr>
      <w:tr w:rsidR="008C69A0" w:rsidRPr="008C69A0" w:rsidTr="008C69A0">
        <w:trPr>
          <w:trHeight w:val="715"/>
        </w:trPr>
        <w:tc>
          <w:tcPr>
            <w:tcW w:w="312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Oprava chyb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Významné chyby retrospektivně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Opravy jsou součástí mimořádných nákladů nebo výnosů</w:t>
            </w:r>
          </w:p>
        </w:tc>
      </w:tr>
      <w:tr w:rsidR="008C69A0" w:rsidRPr="008C69A0" w:rsidTr="008C69A0">
        <w:trPr>
          <w:trHeight w:val="736"/>
        </w:trPr>
        <w:tc>
          <w:tcPr>
            <w:tcW w:w="3121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Změny v účetních odhadech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9A0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C69A0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9A0" w:rsidRDefault="008C69A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IAS 10 – UDÁLOSTI PO ROZVAHOVÉM DNI</w:t>
      </w:r>
    </w:p>
    <w:p w:rsidR="00F658A2" w:rsidRDefault="00F658A2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0CE8" w:rsidRPr="00115732" w:rsidRDefault="0062390E" w:rsidP="0011573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Události </w:t>
      </w:r>
      <w:r w:rsidR="00E339BC">
        <w:rPr>
          <w:rFonts w:ascii="Times New Roman" w:hAnsi="Times New Roman" w:cs="Times New Roman"/>
          <w:b/>
          <w:bCs/>
          <w:sz w:val="24"/>
          <w:szCs w:val="24"/>
        </w:rPr>
        <w:t>…………</w:t>
      </w:r>
      <w:proofErr w:type="gramStart"/>
      <w:r w:rsidR="00E339BC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115732">
        <w:rPr>
          <w:rFonts w:ascii="Times New Roman" w:hAnsi="Times New Roman" w:cs="Times New Roman"/>
          <w:sz w:val="24"/>
          <w:szCs w:val="24"/>
        </w:rPr>
        <w:t>účetní</w:t>
      </w:r>
      <w:proofErr w:type="gramEnd"/>
      <w:r w:rsidRPr="00115732">
        <w:rPr>
          <w:rFonts w:ascii="Times New Roman" w:hAnsi="Times New Roman" w:cs="Times New Roman"/>
          <w:sz w:val="24"/>
          <w:szCs w:val="24"/>
        </w:rPr>
        <w:t xml:space="preserve"> výkazy</w:t>
      </w:r>
    </w:p>
    <w:p w:rsidR="00860CE8" w:rsidRPr="00115732" w:rsidRDefault="0062390E" w:rsidP="0011573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Události </w:t>
      </w:r>
      <w:r w:rsidR="00E339BC">
        <w:rPr>
          <w:rFonts w:ascii="Times New Roman" w:hAnsi="Times New Roman" w:cs="Times New Roman"/>
          <w:b/>
          <w:bCs/>
          <w:sz w:val="24"/>
          <w:szCs w:val="24"/>
        </w:rPr>
        <w:t>……………………</w:t>
      </w:r>
      <w:r w:rsidRPr="00115732">
        <w:rPr>
          <w:rFonts w:ascii="Times New Roman" w:hAnsi="Times New Roman" w:cs="Times New Roman"/>
          <w:sz w:val="24"/>
          <w:szCs w:val="24"/>
        </w:rPr>
        <w:t xml:space="preserve"> účetní výkazy</w:t>
      </w:r>
    </w:p>
    <w:p w:rsidR="00860CE8" w:rsidRPr="00115732" w:rsidRDefault="0062390E" w:rsidP="0011573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>Účetní jednotka vyhodnocuje:</w:t>
      </w:r>
    </w:p>
    <w:p w:rsidR="00860CE8" w:rsidRPr="00115732" w:rsidRDefault="0062390E" w:rsidP="00115732">
      <w:pPr>
        <w:numPr>
          <w:ilvl w:val="1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>Do kterého účetního období událost patří</w:t>
      </w:r>
    </w:p>
    <w:p w:rsidR="00860CE8" w:rsidRPr="00115732" w:rsidRDefault="0062390E" w:rsidP="00115732">
      <w:pPr>
        <w:numPr>
          <w:ilvl w:val="1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Zda tyto události zachytí v minulém nebo v současném období </w:t>
      </w: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Události upravující účetní výkazy</w:t>
      </w:r>
    </w:p>
    <w:p w:rsidR="00860CE8" w:rsidRPr="00115732" w:rsidRDefault="0062390E" w:rsidP="0011573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Události související s okolnostmi existující k rozvahovému dni </w:t>
      </w:r>
    </w:p>
    <w:p w:rsidR="00860CE8" w:rsidRPr="00115732" w:rsidRDefault="0062390E" w:rsidP="0011573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Je nutno upravit částky v účetních výkazech nebo doplnit částky do účetních výkazů </w:t>
      </w: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CE8" w:rsidRPr="00115732" w:rsidRDefault="0062390E" w:rsidP="0011573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Vyřešení soudního sporu po konci účetního období </w:t>
      </w:r>
    </w:p>
    <w:p w:rsidR="00860CE8" w:rsidRPr="00115732" w:rsidRDefault="0062390E" w:rsidP="0011573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 xml:space="preserve">Získání informací, které potvrzující, že k datu účetní závěrky došlo ke snížení hodnoty aktiva </w:t>
      </w:r>
    </w:p>
    <w:p w:rsidR="00860CE8" w:rsidRPr="00115732" w:rsidRDefault="0062390E" w:rsidP="0011573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>Po rozvahovém dni došlo k určení pořizovací ceny aktiva nakoupeného před rozvahovým dnem</w:t>
      </w:r>
    </w:p>
    <w:p w:rsidR="00860CE8" w:rsidRPr="00115732" w:rsidRDefault="0062390E" w:rsidP="0011573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732">
        <w:rPr>
          <w:rFonts w:ascii="Times New Roman" w:hAnsi="Times New Roman" w:cs="Times New Roman"/>
          <w:sz w:val="24"/>
          <w:szCs w:val="24"/>
        </w:rPr>
        <w:t>Nález chyb nebo podvodů</w:t>
      </w:r>
      <w:r w:rsidR="00115732">
        <w:rPr>
          <w:rFonts w:ascii="Times New Roman" w:hAnsi="Times New Roman" w:cs="Times New Roman"/>
          <w:sz w:val="24"/>
          <w:szCs w:val="24"/>
        </w:rPr>
        <w:t>,</w:t>
      </w:r>
      <w:r w:rsidRPr="00115732">
        <w:rPr>
          <w:rFonts w:ascii="Times New Roman" w:hAnsi="Times New Roman" w:cs="Times New Roman"/>
          <w:sz w:val="24"/>
          <w:szCs w:val="24"/>
        </w:rPr>
        <w:t xml:space="preserve"> z jejichž důvodů je účetní závěrka nesprávná </w:t>
      </w: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8A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4799BB" wp14:editId="73E174EB">
                <wp:simplePos x="0" y="0"/>
                <wp:positionH relativeFrom="column">
                  <wp:posOffset>-52705</wp:posOffset>
                </wp:positionH>
                <wp:positionV relativeFrom="paragraph">
                  <wp:posOffset>140335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4.15pt;margin-top:11.05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hhSA198AAAAIAQAADwAAAGRycy9kb3ducmV2&#10;LnhtbEyPwU7DMBBE70j8g7VIXFBrJxVtk2ZTISQOSD2Ukg9wYpOktddR7Kbh7zEnOI5mNPOm2M/W&#10;sEmPvneEkCwFME2NUz21CNXn22ILzAdJShpHGuFbe9iX93eFzJW70YeeTqFlsYR8LhG6EIacc990&#10;2kq/dIOm6H250coQ5dhyNcpbLLeGp0KsuZU9xYVODvq1083ldLUIq8xuzHFzfqany3SsqveD8fUB&#10;8fFhftkBC3oOf2H4xY/oUEam2l1JeWYQFttVTCKkaQIs+plIMmA1wlokwMuC/z9Q/gA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CGFIDX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784ADF" w:rsidRPr="00C54A96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96">
        <w:rPr>
          <w:rFonts w:ascii="Times New Roman" w:hAnsi="Times New Roman" w:cs="Times New Roman"/>
          <w:b/>
          <w:sz w:val="24"/>
          <w:szCs w:val="24"/>
        </w:rPr>
        <w:t>Příklad 1 – Události po rozvahovém dni</w:t>
      </w:r>
    </w:p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Výrobní společnost vykazuje účetní hodnotu zásob na 1 000 000 Kč ( k datu 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). Dne 15. 2. 2022 </w:t>
      </w:r>
      <w:proofErr w:type="gramStart"/>
      <w:r>
        <w:rPr>
          <w:rFonts w:ascii="Times New Roman" w:hAnsi="Times New Roman" w:cs="Times New Roman"/>
          <w:sz w:val="24"/>
          <w:szCs w:val="24"/>
        </w:rPr>
        <w:t>uzavřela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účetní jednotka </w:t>
      </w:r>
      <w:proofErr w:type="gramStart"/>
      <w:r>
        <w:rPr>
          <w:rFonts w:ascii="Times New Roman" w:hAnsi="Times New Roman" w:cs="Times New Roman"/>
          <w:sz w:val="24"/>
          <w:szCs w:val="24"/>
        </w:rPr>
        <w:t>smlouvo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prodeji těchto zásob. Všechny zásoby v pořizovací ceně 1 000 000 Kč budou prodány za 400 000 Kč. Účetní závěrka této společnosti byla schválena 28. 2. 2022. </w:t>
      </w:r>
    </w:p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ADF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EDB7D" wp14:editId="7B874058">
                <wp:simplePos x="0" y="0"/>
                <wp:positionH relativeFrom="column">
                  <wp:posOffset>-52705</wp:posOffset>
                </wp:positionH>
                <wp:positionV relativeFrom="paragraph">
                  <wp:posOffset>131445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4.15pt;margin-top:10.3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EeUyL/fAAAACAEAAA8AAABkcnMvZG93bnJl&#10;di54bWxMj81OwzAQhO9IvIO1SFxQa7dVyQ9xKoTEAamHUvIATrwkofY6it00vD3uqRxHM5r5ptjN&#10;1rAJR987krBaCmBIjdM9tRKqr/dFCswHRVoZRyjhFz3syvu7QuXaXegTp2NoWSwhnysJXQhDzrlv&#10;OrTKL92AFL1vN1oVohxbrkd1ieXW8LUQz9yqnuJCpwZ867A5Hc9WwiaziTkkP1t6Ok2HqvrYG1/v&#10;pXx8mF9fgAWcwy0MV/yIDmVkqt2ZtGdGwiLdxKSEtUiART8TqwxYLWGbJsDLgv8/UP4B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R5TIv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784ADF" w:rsidRPr="00C54A96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A96">
        <w:rPr>
          <w:rFonts w:ascii="Times New Roman" w:hAnsi="Times New Roman" w:cs="Times New Roman"/>
          <w:b/>
          <w:sz w:val="24"/>
          <w:szCs w:val="24"/>
        </w:rPr>
        <w:t xml:space="preserve">Příklad 2 – Události po rozvahovém dni </w:t>
      </w:r>
    </w:p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Železniční společnost byla zažalována konkurenční společností za zneužití dominantního postavení na trhu. Železniční společnost zaúčtovala rezervu na soudní spor za 5 000 000 Kč k datu 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31.12.2021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17. 2. 2022 nabyl právní moci rozsudek a Železniční společnosti byla uložena pokuta ve výši 10 000 000 Kč. Účetní závěrka byla schválena 1. 4. 2022. </w:t>
      </w:r>
      <w:r w:rsidR="00C54A96">
        <w:rPr>
          <w:rFonts w:ascii="Times New Roman" w:hAnsi="Times New Roman" w:cs="Times New Roman"/>
          <w:sz w:val="24"/>
          <w:szCs w:val="24"/>
        </w:rPr>
        <w:t xml:space="preserve"> Určete, zda tato událost bude událostí upravující účetní výkazy. Pokud ano, zaúčtujte a vypočtěte dopad na výsledek hospodaření Železniční společnosti. </w:t>
      </w:r>
    </w:p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Předpokládejte, že za rok 2021 vykázala Železniční společnost (bez zohlednění událostí po rozvahovém dni účetní výsledek hospodaření 6 000 000 Kč zisk</w:t>
      </w:r>
      <w:r w:rsidR="00772DAE">
        <w:rPr>
          <w:rFonts w:ascii="Times New Roman" w:hAnsi="Times New Roman" w:cs="Times New Roman"/>
          <w:sz w:val="24"/>
          <w:szCs w:val="24"/>
        </w:rPr>
        <w:t>, celkem náklady 150 000 000 Kč, celkem výnosy 156 000 000 Kč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Původní účetní případy roku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784ADF" w:rsidRPr="00C94236" w:rsidTr="00D02373">
        <w:tc>
          <w:tcPr>
            <w:tcW w:w="76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02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3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částka </w:t>
            </w:r>
          </w:p>
        </w:tc>
        <w:tc>
          <w:tcPr>
            <w:tcW w:w="11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1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4ADF" w:rsidRPr="00C94236" w:rsidTr="00D02373">
        <w:tc>
          <w:tcPr>
            <w:tcW w:w="76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 – tvorba rezervy na soudní spory</w:t>
            </w:r>
          </w:p>
        </w:tc>
        <w:tc>
          <w:tcPr>
            <w:tcW w:w="13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96" w:rsidRDefault="00C54A9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Výkaz o úplném výsledku hospodaření</w:t>
      </w:r>
    </w:p>
    <w:p w:rsidR="00C54A96" w:rsidRDefault="00C54A9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96" w:rsidRDefault="00C54A9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96" w:rsidRDefault="00C54A9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Zaúčtování události upravující účetní výkazy do účetního období roku 2021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9"/>
        <w:gridCol w:w="4902"/>
        <w:gridCol w:w="1339"/>
        <w:gridCol w:w="1139"/>
        <w:gridCol w:w="1139"/>
      </w:tblGrid>
      <w:tr w:rsidR="00784ADF" w:rsidRPr="00C94236" w:rsidTr="00D02373">
        <w:tc>
          <w:tcPr>
            <w:tcW w:w="76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02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3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 xml:space="preserve">částka </w:t>
            </w:r>
          </w:p>
        </w:tc>
        <w:tc>
          <w:tcPr>
            <w:tcW w:w="11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11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784ADF" w:rsidRPr="00C94236" w:rsidTr="00D02373">
        <w:tc>
          <w:tcPr>
            <w:tcW w:w="76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2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2" w:type="dxa"/>
          </w:tcPr>
          <w:p w:rsidR="00784ADF" w:rsidRPr="00C94236" w:rsidRDefault="00784ADF" w:rsidP="00772DAE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ID – </w:t>
            </w:r>
            <w:r w:rsidR="00772DAE">
              <w:rPr>
                <w:rFonts w:ascii="Times New Roman" w:hAnsi="Times New Roman" w:cs="Times New Roman"/>
                <w:sz w:val="24"/>
                <w:szCs w:val="24"/>
              </w:rPr>
              <w:t xml:space="preserve">doúčtování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rezervy na soudní spory</w:t>
            </w:r>
          </w:p>
        </w:tc>
        <w:tc>
          <w:tcPr>
            <w:tcW w:w="13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</w:tcPr>
          <w:p w:rsidR="00784ADF" w:rsidRPr="00C94236" w:rsidRDefault="00784ADF" w:rsidP="00D02373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ADF" w:rsidRDefault="00784ADF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A96" w:rsidRDefault="00C54A96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Výkaz o úplném výsledku hospodaření </w:t>
      </w: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DBE" w:rsidRDefault="00B47DB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Události neupravující účetní výkazy </w:t>
      </w:r>
    </w:p>
    <w:p w:rsidR="00860CE8" w:rsidRPr="00B47DBE" w:rsidRDefault="0062390E" w:rsidP="00B47D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 xml:space="preserve">Události vztahující se k novému účetnímu období, s původním účetním obdobím nesouvisí </w:t>
      </w:r>
    </w:p>
    <w:p w:rsidR="00860CE8" w:rsidRPr="00B47DBE" w:rsidRDefault="0062390E" w:rsidP="00B47DBE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>Jsou-li významné, účetní jednotka zveřej</w:t>
      </w:r>
      <w:r w:rsidR="00B47DBE">
        <w:rPr>
          <w:rFonts w:ascii="Times New Roman" w:hAnsi="Times New Roman" w:cs="Times New Roman"/>
          <w:sz w:val="24"/>
          <w:szCs w:val="24"/>
        </w:rPr>
        <w:t>n</w:t>
      </w:r>
      <w:r w:rsidRPr="00B47DBE">
        <w:rPr>
          <w:rFonts w:ascii="Times New Roman" w:hAnsi="Times New Roman" w:cs="Times New Roman"/>
          <w:sz w:val="24"/>
          <w:szCs w:val="24"/>
        </w:rPr>
        <w:t xml:space="preserve">ění tyto informace v příloze </w:t>
      </w:r>
    </w:p>
    <w:p w:rsidR="00115732" w:rsidRDefault="00115732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 xml:space="preserve">Podniková kombinace po skončení účetního období </w:t>
      </w:r>
    </w:p>
    <w:p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>Důležité nákupy aktiv</w:t>
      </w:r>
    </w:p>
    <w:p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>Zničení výrobního zařízení po konci účetního období</w:t>
      </w:r>
    </w:p>
    <w:p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>Změny v daňových sazbách</w:t>
      </w:r>
    </w:p>
    <w:p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 xml:space="preserve">Zahájení restrukturalizace </w:t>
      </w:r>
    </w:p>
    <w:p w:rsidR="00860CE8" w:rsidRPr="00B47DBE" w:rsidRDefault="0062390E" w:rsidP="00B47DBE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BE">
        <w:rPr>
          <w:rFonts w:ascii="Times New Roman" w:hAnsi="Times New Roman" w:cs="Times New Roman"/>
          <w:sz w:val="24"/>
          <w:szCs w:val="24"/>
        </w:rPr>
        <w:t>Zahájení soudního sporu na základě událostí, které proběhly po rozvahovém dni</w:t>
      </w:r>
    </w:p>
    <w:p w:rsidR="00B47DBE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BFD732" wp14:editId="57AF6777">
                <wp:simplePos x="0" y="0"/>
                <wp:positionH relativeFrom="column">
                  <wp:posOffset>-62230</wp:posOffset>
                </wp:positionH>
                <wp:positionV relativeFrom="paragraph">
                  <wp:posOffset>134620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4.9pt;margin-top:10.6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B47DBE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3 – Události po rozvahovém dni</w:t>
      </w:r>
    </w:p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Zahradnictví, s.r.o., zahájilo v roce 2021 stavbu nové budovy. Očekává se, že výstavba budovy bude ukončena v roce 2025. Hodnota rozestavěné části budovy k datu </w:t>
      </w:r>
      <w:proofErr w:type="gramStart"/>
      <w:r>
        <w:rPr>
          <w:rFonts w:ascii="Times New Roman" w:hAnsi="Times New Roman" w:cs="Times New Roman"/>
          <w:sz w:val="24"/>
          <w:szCs w:val="24"/>
        </w:rPr>
        <w:t>31.12.2021</w:t>
      </w:r>
      <w:proofErr w:type="gramEnd"/>
      <w:r>
        <w:rPr>
          <w:rFonts w:ascii="Times New Roman" w:hAnsi="Times New Roman" w:cs="Times New Roman"/>
          <w:sz w:val="24"/>
          <w:szCs w:val="24"/>
        </w:rPr>
        <w:t>, který je rozvahovým dnem je 5 000 000 Kč.</w:t>
      </w:r>
    </w:p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únoru 2022 nastaly povodně, které způsobily kompletní zničení budovy. Účetní závěrka byla zveřejněna </w:t>
      </w:r>
      <w:proofErr w:type="gramStart"/>
      <w:r>
        <w:rPr>
          <w:rFonts w:ascii="Times New Roman" w:hAnsi="Times New Roman" w:cs="Times New Roman"/>
          <w:sz w:val="24"/>
          <w:szCs w:val="24"/>
        </w:rPr>
        <w:t>1.3.2022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405"/>
        <w:gridCol w:w="2835"/>
        <w:gridCol w:w="2976"/>
      </w:tblGrid>
      <w:tr w:rsidR="008C69A0" w:rsidRPr="008C69A0" w:rsidTr="00EB5550">
        <w:trPr>
          <w:trHeight w:val="584"/>
        </w:trPr>
        <w:tc>
          <w:tcPr>
            <w:tcW w:w="340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Oblast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IFRS</w:t>
            </w:r>
          </w:p>
        </w:tc>
        <w:tc>
          <w:tcPr>
            <w:tcW w:w="2976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0070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ČÚP</w:t>
            </w:r>
          </w:p>
        </w:tc>
      </w:tr>
      <w:tr w:rsidR="008C69A0" w:rsidRPr="008C69A0" w:rsidTr="00EB5550">
        <w:trPr>
          <w:trHeight w:val="584"/>
        </w:trPr>
        <w:tc>
          <w:tcPr>
            <w:tcW w:w="34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Události upravující výkazy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Nutno doplnit do výkazů účetní závěrky.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Uvádí se v příloze</w:t>
            </w:r>
          </w:p>
        </w:tc>
      </w:tr>
      <w:tr w:rsidR="008C69A0" w:rsidRPr="008C69A0" w:rsidTr="00EB5550">
        <w:trPr>
          <w:trHeight w:val="715"/>
        </w:trPr>
        <w:tc>
          <w:tcPr>
            <w:tcW w:w="340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Události neupravující výkazy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Uvádí se v příloze.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60CE8" w:rsidRPr="008C69A0" w:rsidRDefault="008C69A0" w:rsidP="008C69A0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9A0">
              <w:rPr>
                <w:rFonts w:ascii="Times New Roman" w:hAnsi="Times New Roman" w:cs="Times New Roman"/>
                <w:sz w:val="24"/>
                <w:szCs w:val="24"/>
              </w:rPr>
              <w:t>Uvádí se v příloze.</w:t>
            </w:r>
          </w:p>
        </w:tc>
      </w:tr>
    </w:tbl>
    <w:p w:rsidR="008C69A0" w:rsidRDefault="008C69A0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P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90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IFRS 5 – DLOUHODOBÁ AKTIVA DRŽENÁ K PRODEJI A UKONČENÉ ČINNOSTI</w:t>
      </w: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90E" w:rsidRPr="00446450" w:rsidRDefault="0062390E" w:rsidP="0062390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 xml:space="preserve">klasifikací, oceňováním a vykazováním </w:t>
      </w:r>
      <w:r>
        <w:rPr>
          <w:rFonts w:ascii="Times New Roman" w:hAnsi="Times New Roman" w:cs="Times New Roman"/>
          <w:bCs/>
          <w:iCs/>
          <w:sz w:val="24"/>
          <w:szCs w:val="24"/>
        </w:rPr>
        <w:t>…………………………………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….</w:t>
      </w:r>
      <w:r w:rsidRPr="00446450">
        <w:rPr>
          <w:rFonts w:ascii="Times New Roman" w:hAnsi="Times New Roman" w:cs="Times New Roman"/>
          <w:bCs/>
          <w:iCs/>
          <w:sz w:val="24"/>
          <w:szCs w:val="24"/>
        </w:rPr>
        <w:t xml:space="preserve"> a</w:t>
      </w:r>
      <w:proofErr w:type="gramEnd"/>
    </w:p>
    <w:p w:rsidR="0062390E" w:rsidRPr="00446450" w:rsidRDefault="0062390E" w:rsidP="0062390E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klasifikací a vykazováním informací o tzv. ukončovaných činnostech.</w:t>
      </w:r>
    </w:p>
    <w:p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 </w:t>
      </w:r>
    </w:p>
    <w:p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Působnost standardu</w:t>
      </w:r>
    </w:p>
    <w:p w:rsidR="0062390E" w:rsidRPr="00446450" w:rsidRDefault="0062390E" w:rsidP="0062390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standard IFRS 5 se vztahuje na všechna dlouhodobá aktiva, které má záměr účetní jednotka prodat a všechny vyřazované skupiny účetní jednotky.</w:t>
      </w:r>
    </w:p>
    <w:p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Podnik klasifikuje stálá aktiva (nebo skupinu aktiv a závazků)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jako držená k prodeji, pokud jejich účetní hodnota bude získána pravděpodobněji prodejem než pokračujícím užíváním</w:t>
      </w:r>
    </w:p>
    <w:p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Musí být splněny následující podmínky:</w:t>
      </w:r>
    </w:p>
    <w:p w:rsidR="0062390E" w:rsidRPr="00446450" w:rsidRDefault="0062390E" w:rsidP="0062390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aktiva musí být připravena pro okamžitý prodej v jejich současném stavu</w:t>
      </w:r>
    </w:p>
    <w:p w:rsidR="0062390E" w:rsidRPr="00446450" w:rsidRDefault="0062390E" w:rsidP="0062390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na aktivum se musí vztahovat podmínky, které jsou pro prodej podobných aktiv obvyklé</w:t>
      </w:r>
    </w:p>
    <w:p w:rsidR="0062390E" w:rsidRDefault="0062390E" w:rsidP="0062390E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 xml:space="preserve">prodej musí být vysoce pravděpodobný </w:t>
      </w:r>
    </w:p>
    <w:p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Oceňování</w:t>
      </w:r>
    </w:p>
    <w:p w:rsidR="0062390E" w:rsidRPr="00446450" w:rsidRDefault="0062390E" w:rsidP="0062390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 xml:space="preserve">Na bázi nižší ze dvou hodnot – účetní hodnota aktiva a reálná hodnota snížená o náklady související s prodejem aktiva </w:t>
      </w:r>
    </w:p>
    <w:p w:rsidR="0062390E" w:rsidRPr="00446450" w:rsidRDefault="0062390E" w:rsidP="0062390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Reálná hodnota </w:t>
      </w:r>
      <w:r w:rsidRPr="00446450">
        <w:rPr>
          <w:rFonts w:ascii="Times New Roman" w:hAnsi="Times New Roman" w:cs="Times New Roman"/>
          <w:bCs/>
          <w:iCs/>
          <w:sz w:val="24"/>
          <w:szCs w:val="24"/>
        </w:rPr>
        <w:t>- částka, za kterou aktivum může být směněno mezi znalými a ochotnými stranami za obvyklých podmínek.</w:t>
      </w:r>
    </w:p>
    <w:p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Vykazování</w:t>
      </w:r>
    </w:p>
    <w:p w:rsidR="0062390E" w:rsidRPr="00446450" w:rsidRDefault="0062390E" w:rsidP="0062390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Dlouhodobá aktiva držená k prodeji se vykazují odděleně od ostatních aktiv</w:t>
      </w:r>
    </w:p>
    <w:p w:rsidR="0062390E" w:rsidRPr="00446450" w:rsidRDefault="0062390E" w:rsidP="0062390E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Cs/>
          <w:iCs/>
          <w:sz w:val="24"/>
          <w:szCs w:val="24"/>
        </w:rPr>
        <w:t>Vykazují se jako krátkodobá aktiva</w:t>
      </w:r>
    </w:p>
    <w:p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052C87" wp14:editId="678A1826">
                <wp:simplePos x="0" y="0"/>
                <wp:positionH relativeFrom="column">
                  <wp:posOffset>-55880</wp:posOffset>
                </wp:positionH>
                <wp:positionV relativeFrom="paragraph">
                  <wp:posOffset>134884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4.4pt;margin-top:10.6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35Ly8N8AAAAIAQAADwAAAGRycy9kb3ducmV2&#10;LnhtbEyPQU+DQBSE7yb+h80z8WLaBbS2UB6NMfFg0kOt/IAFXgG7+5awW4r/3vWkx8lMZr7Jd7PR&#10;YqLR9ZYR4mUEgri2Tc8tQvn5ttiAcF5xo7RlQvgmB7vi9iZXWWOv/EHT0bcilLDLFELn/ZBJ6eqO&#10;jHJLOxAH72RHo3yQYyubUV1DudEyiaJnaVTPYaFTA712VJ+PF4PwmJq1Pqy/Vvxwng5l+b7Xrtoj&#10;3t/NL1sQnmb/F4Zf/IAORWCq7IUbJzTCYhPIPUISJyCCn0bxE4gKYZUmIItc/j9Q/AA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DfkvLw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62390E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Příklad 1 – IFRS 5</w:t>
      </w:r>
    </w:p>
    <w:p w:rsidR="0062390E" w:rsidRPr="00446450" w:rsidRDefault="0062390E" w:rsidP="00623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Letiště, a.s. se zavázalo k plánu prodat svou administrativní budovu (do 1 roku) a zahájilo jednání s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 kupujícím. Určete, zda </w:t>
      </w:r>
      <w:r w:rsidRPr="00446450">
        <w:rPr>
          <w:rFonts w:ascii="Times New Roman" w:hAnsi="Times New Roman" w:cs="Times New Roman"/>
          <w:bCs/>
          <w:iCs/>
          <w:sz w:val="24"/>
          <w:szCs w:val="24"/>
        </w:rPr>
        <w:t>Jsou spln</w:t>
      </w:r>
      <w:r w:rsidRPr="00446450">
        <w:rPr>
          <w:rFonts w:ascii="Times New Roman" w:hAnsi="Times New Roman" w:cs="Times New Roman"/>
          <w:sz w:val="24"/>
          <w:szCs w:val="24"/>
        </w:rPr>
        <w:t>ě</w:t>
      </w:r>
      <w:r w:rsidRPr="00446450">
        <w:rPr>
          <w:rFonts w:ascii="Times New Roman" w:hAnsi="Times New Roman" w:cs="Times New Roman"/>
          <w:bCs/>
          <w:iCs/>
          <w:sz w:val="24"/>
          <w:szCs w:val="24"/>
        </w:rPr>
        <w:t xml:space="preserve">ny podmínky pro klasifikaci budovy </w:t>
      </w:r>
      <w:r>
        <w:rPr>
          <w:rFonts w:ascii="Times New Roman" w:hAnsi="Times New Roman" w:cs="Times New Roman"/>
          <w:bCs/>
          <w:iCs/>
          <w:sz w:val="24"/>
          <w:szCs w:val="24"/>
        </w:rPr>
        <w:t>jako „aktivum držené k prodeji:</w:t>
      </w:r>
    </w:p>
    <w:p w:rsidR="0062390E" w:rsidRDefault="0062390E" w:rsidP="00623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446450">
        <w:rPr>
          <w:rFonts w:ascii="Times New Roman" w:hAnsi="Times New Roman"/>
          <w:iCs/>
          <w:szCs w:val="24"/>
        </w:rPr>
        <w:t xml:space="preserve">Účetní jednotka hodlá </w:t>
      </w:r>
      <w:r w:rsidRPr="00446450">
        <w:rPr>
          <w:rFonts w:ascii="Times New Roman" w:hAnsi="Times New Roman"/>
          <w:b/>
          <w:bCs/>
          <w:iCs/>
          <w:szCs w:val="24"/>
        </w:rPr>
        <w:t>p</w:t>
      </w:r>
      <w:r w:rsidRPr="00446450">
        <w:rPr>
          <w:rFonts w:ascii="Times New Roman" w:hAnsi="Times New Roman"/>
          <w:szCs w:val="24"/>
        </w:rPr>
        <w:t>ř</w:t>
      </w:r>
      <w:r w:rsidRPr="00446450">
        <w:rPr>
          <w:rFonts w:ascii="Times New Roman" w:hAnsi="Times New Roman"/>
          <w:b/>
          <w:bCs/>
          <w:iCs/>
          <w:szCs w:val="24"/>
        </w:rPr>
        <w:t>evést budovu kupujícímu po jejím uvoln</w:t>
      </w:r>
      <w:r w:rsidRPr="00446450">
        <w:rPr>
          <w:rFonts w:ascii="Times New Roman" w:hAnsi="Times New Roman"/>
          <w:szCs w:val="24"/>
        </w:rPr>
        <w:t>ě</w:t>
      </w:r>
      <w:r w:rsidRPr="00446450">
        <w:rPr>
          <w:rFonts w:ascii="Times New Roman" w:hAnsi="Times New Roman"/>
          <w:b/>
          <w:bCs/>
          <w:iCs/>
          <w:szCs w:val="24"/>
        </w:rPr>
        <w:t xml:space="preserve">ní. </w:t>
      </w:r>
      <w:r w:rsidRPr="00446450">
        <w:rPr>
          <w:rFonts w:ascii="Times New Roman" w:hAnsi="Times New Roman"/>
          <w:iCs/>
          <w:szCs w:val="24"/>
        </w:rPr>
        <w:t>Doba nezbytná pro uvoln</w:t>
      </w:r>
      <w:r w:rsidRPr="00446450">
        <w:rPr>
          <w:rFonts w:ascii="Times New Roman" w:hAnsi="Times New Roman"/>
          <w:szCs w:val="24"/>
        </w:rPr>
        <w:t>ě</w:t>
      </w:r>
      <w:r w:rsidRPr="00446450">
        <w:rPr>
          <w:rFonts w:ascii="Times New Roman" w:hAnsi="Times New Roman"/>
          <w:iCs/>
          <w:szCs w:val="24"/>
        </w:rPr>
        <w:t>ní budovy je obvyklá a b</w:t>
      </w:r>
      <w:r w:rsidRPr="00446450">
        <w:rPr>
          <w:rFonts w:ascii="Times New Roman" w:hAnsi="Times New Roman"/>
          <w:szCs w:val="24"/>
        </w:rPr>
        <w:t>ě</w:t>
      </w:r>
      <w:r w:rsidRPr="00446450">
        <w:rPr>
          <w:rFonts w:ascii="Times New Roman" w:hAnsi="Times New Roman"/>
          <w:iCs/>
          <w:szCs w:val="24"/>
        </w:rPr>
        <w:t>žná pro prodej aktiv obdobného charakteru.</w:t>
      </w:r>
    </w:p>
    <w:p w:rsidR="0062390E" w:rsidRDefault="0062390E" w:rsidP="0062390E">
      <w:pPr>
        <w:autoSpaceDE w:val="0"/>
        <w:autoSpaceDN w:val="0"/>
        <w:adjustRightInd w:val="0"/>
        <w:jc w:val="both"/>
        <w:rPr>
          <w:rFonts w:ascii="Times New Roman" w:hAnsi="Times New Roman"/>
          <w:iCs/>
          <w:szCs w:val="24"/>
        </w:rPr>
      </w:pPr>
    </w:p>
    <w:p w:rsidR="0062390E" w:rsidRPr="00446450" w:rsidRDefault="0062390E" w:rsidP="0062390E">
      <w:pPr>
        <w:autoSpaceDE w:val="0"/>
        <w:autoSpaceDN w:val="0"/>
        <w:adjustRightInd w:val="0"/>
        <w:jc w:val="both"/>
        <w:rPr>
          <w:rFonts w:ascii="Times New Roman" w:hAnsi="Times New Roman"/>
          <w:iCs/>
          <w:szCs w:val="24"/>
        </w:rPr>
      </w:pPr>
    </w:p>
    <w:p w:rsidR="0062390E" w:rsidRPr="00446450" w:rsidRDefault="0062390E" w:rsidP="0062390E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Cs w:val="24"/>
        </w:rPr>
      </w:pPr>
      <w:r w:rsidRPr="00446450">
        <w:rPr>
          <w:rFonts w:ascii="Times New Roman" w:hAnsi="Times New Roman"/>
          <w:iCs/>
          <w:szCs w:val="24"/>
        </w:rPr>
        <w:t xml:space="preserve">Účetní jednotka hodlá </w:t>
      </w:r>
      <w:r w:rsidRPr="00446450">
        <w:rPr>
          <w:rFonts w:ascii="Times New Roman" w:hAnsi="Times New Roman"/>
          <w:b/>
          <w:bCs/>
          <w:iCs/>
          <w:szCs w:val="24"/>
        </w:rPr>
        <w:t>budovu nadále využívat až do uskute</w:t>
      </w:r>
      <w:r w:rsidRPr="00446450">
        <w:rPr>
          <w:rFonts w:ascii="Times New Roman" w:hAnsi="Times New Roman"/>
          <w:szCs w:val="24"/>
        </w:rPr>
        <w:t>č</w:t>
      </w:r>
      <w:r w:rsidRPr="00446450">
        <w:rPr>
          <w:rFonts w:ascii="Times New Roman" w:hAnsi="Times New Roman"/>
          <w:b/>
          <w:bCs/>
          <w:iCs/>
          <w:szCs w:val="24"/>
        </w:rPr>
        <w:t>n</w:t>
      </w:r>
      <w:r w:rsidRPr="00446450">
        <w:rPr>
          <w:rFonts w:ascii="Times New Roman" w:hAnsi="Times New Roman"/>
          <w:szCs w:val="24"/>
        </w:rPr>
        <w:t>ě</w:t>
      </w:r>
      <w:r w:rsidRPr="00446450">
        <w:rPr>
          <w:rFonts w:ascii="Times New Roman" w:hAnsi="Times New Roman"/>
          <w:b/>
          <w:bCs/>
          <w:iCs/>
          <w:szCs w:val="24"/>
        </w:rPr>
        <w:t xml:space="preserve">ní výstavby nové budovy. </w:t>
      </w:r>
      <w:r w:rsidRPr="00446450">
        <w:rPr>
          <w:rFonts w:ascii="Times New Roman" w:hAnsi="Times New Roman"/>
          <w:iCs/>
          <w:szCs w:val="24"/>
        </w:rPr>
        <w:t>Jednotka nehodlá p</w:t>
      </w:r>
      <w:r w:rsidRPr="00446450">
        <w:rPr>
          <w:rFonts w:ascii="Times New Roman" w:hAnsi="Times New Roman"/>
          <w:szCs w:val="24"/>
        </w:rPr>
        <w:t>ř</w:t>
      </w:r>
      <w:r w:rsidRPr="00446450">
        <w:rPr>
          <w:rFonts w:ascii="Times New Roman" w:hAnsi="Times New Roman"/>
          <w:iCs/>
          <w:szCs w:val="24"/>
        </w:rPr>
        <w:t>evést stávající budovu kupujícímu, dokud nebude dokon</w:t>
      </w:r>
      <w:r w:rsidRPr="00446450">
        <w:rPr>
          <w:rFonts w:ascii="Times New Roman" w:hAnsi="Times New Roman"/>
          <w:szCs w:val="24"/>
        </w:rPr>
        <w:t>č</w:t>
      </w:r>
      <w:r w:rsidRPr="00446450">
        <w:rPr>
          <w:rFonts w:ascii="Times New Roman" w:hAnsi="Times New Roman"/>
          <w:iCs/>
          <w:szCs w:val="24"/>
        </w:rPr>
        <w:t>ena výstavba nové budovy a dokud nebude stávající budova uvoln</w:t>
      </w:r>
      <w:r w:rsidRPr="00446450">
        <w:rPr>
          <w:rFonts w:ascii="Times New Roman" w:hAnsi="Times New Roman"/>
          <w:szCs w:val="24"/>
        </w:rPr>
        <w:t>ě</w:t>
      </w:r>
      <w:r w:rsidRPr="00446450">
        <w:rPr>
          <w:rFonts w:ascii="Times New Roman" w:hAnsi="Times New Roman"/>
          <w:iCs/>
          <w:szCs w:val="24"/>
        </w:rPr>
        <w:t>na.</w:t>
      </w:r>
    </w:p>
    <w:p w:rsidR="0062390E" w:rsidRDefault="0062390E" w:rsidP="0062390E">
      <w:pPr>
        <w:jc w:val="both"/>
        <w:rPr>
          <w:rFonts w:ascii="Times New Roman" w:hAnsi="Times New Roman"/>
        </w:rPr>
      </w:pPr>
    </w:p>
    <w:p w:rsidR="0062390E" w:rsidRDefault="0062390E" w:rsidP="0062390E">
      <w:pPr>
        <w:jc w:val="both"/>
        <w:rPr>
          <w:rFonts w:ascii="Times New Roman" w:hAnsi="Times New Roman"/>
        </w:rPr>
      </w:pPr>
    </w:p>
    <w:p w:rsidR="0062390E" w:rsidRDefault="0062390E" w:rsidP="0062390E">
      <w:pPr>
        <w:jc w:val="both"/>
        <w:rPr>
          <w:rFonts w:ascii="Times New Roman" w:hAnsi="Times New Roman"/>
        </w:rPr>
      </w:pPr>
    </w:p>
    <w:p w:rsidR="0062390E" w:rsidRDefault="0062390E" w:rsidP="0062390E">
      <w:pPr>
        <w:jc w:val="both"/>
        <w:rPr>
          <w:rFonts w:ascii="Times New Roman" w:hAnsi="Times New Roman"/>
        </w:rPr>
      </w:pPr>
    </w:p>
    <w:p w:rsidR="0062390E" w:rsidRPr="00446450" w:rsidRDefault="0062390E" w:rsidP="0062390E">
      <w:pPr>
        <w:jc w:val="both"/>
        <w:rPr>
          <w:rFonts w:ascii="Times New Roman" w:hAnsi="Times New Roman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203CB2" wp14:editId="2DC55B59">
                <wp:simplePos x="0" y="0"/>
                <wp:positionH relativeFrom="column">
                  <wp:posOffset>-50165</wp:posOffset>
                </wp:positionH>
                <wp:positionV relativeFrom="paragraph">
                  <wp:posOffset>-73396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3.95pt;margin-top:-5.8pt;width:455.1pt;height:1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</w:rPr>
        <w:t>Příklad 2 – IFRS 5</w:t>
      </w:r>
    </w:p>
    <w:p w:rsidR="0062390E" w:rsidRPr="00780DFD" w:rsidRDefault="0062390E" w:rsidP="00623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46450">
        <w:rPr>
          <w:rFonts w:ascii="Times New Roman" w:hAnsi="Times New Roman" w:cs="Times New Roman"/>
          <w:iCs/>
          <w:sz w:val="24"/>
          <w:szCs w:val="24"/>
        </w:rPr>
        <w:t xml:space="preserve">Letiště a.s. má 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zám</w:t>
      </w:r>
      <w:r w:rsidRPr="00446450">
        <w:rPr>
          <w:rFonts w:ascii="Times New Roman" w:hAnsi="Times New Roman" w:cs="Times New Roman"/>
          <w:sz w:val="24"/>
          <w:szCs w:val="24"/>
        </w:rPr>
        <w:t>ě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 prodat budovu </w:t>
      </w:r>
      <w:r w:rsidRPr="00446450">
        <w:rPr>
          <w:rFonts w:ascii="Times New Roman" w:hAnsi="Times New Roman" w:cs="Times New Roman"/>
          <w:iCs/>
          <w:sz w:val="24"/>
          <w:szCs w:val="24"/>
        </w:rPr>
        <w:t>a podmínky pro klasifikaci budovy jako aktiva drženého k prodeji jsou spln</w:t>
      </w:r>
      <w:r w:rsidRPr="00446450">
        <w:rPr>
          <w:rFonts w:ascii="Times New Roman" w:hAnsi="Times New Roman" w:cs="Times New Roman"/>
          <w:sz w:val="24"/>
          <w:szCs w:val="24"/>
        </w:rPr>
        <w:t>ě</w:t>
      </w:r>
      <w:r w:rsidRPr="00446450">
        <w:rPr>
          <w:rFonts w:ascii="Times New Roman" w:hAnsi="Times New Roman" w:cs="Times New Roman"/>
          <w:iCs/>
          <w:sz w:val="24"/>
          <w:szCs w:val="24"/>
        </w:rPr>
        <w:t>ny.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Ú</w:t>
      </w:r>
      <w:r w:rsidRPr="00446450">
        <w:rPr>
          <w:rFonts w:ascii="Times New Roman" w:hAnsi="Times New Roman" w:cs="Times New Roman"/>
          <w:sz w:val="24"/>
          <w:szCs w:val="24"/>
        </w:rPr>
        <w:t>č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etní hodnota </w:t>
      </w:r>
      <w:r w:rsidRPr="00446450">
        <w:rPr>
          <w:rFonts w:ascii="Times New Roman" w:hAnsi="Times New Roman" w:cs="Times New Roman"/>
          <w:iCs/>
          <w:sz w:val="24"/>
          <w:szCs w:val="24"/>
        </w:rPr>
        <w:t xml:space="preserve">budovy v kategorii 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„Pozemky, budovy a za</w:t>
      </w:r>
      <w:r w:rsidRPr="00446450">
        <w:rPr>
          <w:rFonts w:ascii="Times New Roman" w:hAnsi="Times New Roman" w:cs="Times New Roman"/>
          <w:sz w:val="24"/>
          <w:szCs w:val="24"/>
        </w:rPr>
        <w:t>ř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ízení“ </w:t>
      </w:r>
      <w:r w:rsidRPr="00446450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iCs/>
          <w:sz w:val="24"/>
          <w:szCs w:val="24"/>
        </w:rPr>
        <w:t xml:space="preserve">iní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0 000 000 K</w:t>
      </w:r>
      <w:r w:rsidRPr="00446450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Prodejní cena </w:t>
      </w:r>
      <w:r w:rsidRPr="00446450">
        <w:rPr>
          <w:rFonts w:ascii="Times New Roman" w:hAnsi="Times New Roman" w:cs="Times New Roman"/>
          <w:iCs/>
          <w:sz w:val="24"/>
          <w:szCs w:val="24"/>
        </w:rPr>
        <w:t xml:space="preserve">budovy je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0 000 000 K</w:t>
      </w:r>
      <w:r w:rsidRPr="00446450">
        <w:rPr>
          <w:rFonts w:ascii="Times New Roman" w:hAnsi="Times New Roman" w:cs="Times New Roman"/>
          <w:sz w:val="24"/>
          <w:szCs w:val="24"/>
        </w:rPr>
        <w:t>č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46450">
        <w:rPr>
          <w:rFonts w:ascii="Times New Roman" w:hAnsi="Times New Roman" w:cs="Times New Roman"/>
          <w:b/>
          <w:bCs/>
          <w:iCs/>
          <w:sz w:val="24"/>
          <w:szCs w:val="24"/>
        </w:rPr>
        <w:t>Jakým zp</w:t>
      </w:r>
      <w:r w:rsidRPr="00446450">
        <w:rPr>
          <w:rFonts w:ascii="Times New Roman" w:hAnsi="Times New Roman" w:cs="Times New Roman"/>
          <w:sz w:val="24"/>
          <w:szCs w:val="24"/>
        </w:rPr>
        <w:t>ů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sobem bude budova vykázána?</w:t>
      </w:r>
    </w:p>
    <w:p w:rsidR="0062390E" w:rsidRPr="00446450" w:rsidRDefault="0062390E" w:rsidP="0062390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2390E" w:rsidRPr="00446450" w:rsidRDefault="0062390E" w:rsidP="0062390E">
      <w:pPr>
        <w:jc w:val="both"/>
        <w:rPr>
          <w:rFonts w:ascii="Times New Roman" w:hAnsi="Times New Roman"/>
          <w:b/>
        </w:rPr>
      </w:pPr>
    </w:p>
    <w:p w:rsidR="0062390E" w:rsidRDefault="0062390E" w:rsidP="00F658A2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39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8A2" w:rsidRDefault="00F658A2" w:rsidP="00F658A2">
      <w:pPr>
        <w:spacing w:after="0" w:line="240" w:lineRule="auto"/>
      </w:pPr>
      <w:r>
        <w:separator/>
      </w:r>
    </w:p>
  </w:endnote>
  <w:endnote w:type="continuationSeparator" w:id="0">
    <w:p w:rsidR="00F658A2" w:rsidRDefault="00F658A2" w:rsidP="00F6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A2" w:rsidRDefault="00F658A2" w:rsidP="00F658A2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Mezinárodní </w:t>
    </w:r>
    <w:proofErr w:type="gramStart"/>
    <w:r>
      <w:rPr>
        <w:rFonts w:asciiTheme="majorHAnsi" w:hAnsiTheme="majorHAnsi"/>
      </w:rPr>
      <w:t>úče</w:t>
    </w:r>
    <w:r w:rsidR="00E339BC">
      <w:rPr>
        <w:rFonts w:asciiTheme="majorHAnsi" w:hAnsiTheme="majorHAnsi"/>
      </w:rPr>
      <w:t>tnictví                        2</w:t>
    </w:r>
    <w:r>
      <w:rPr>
        <w:rFonts w:asciiTheme="majorHAnsi" w:hAnsiTheme="majorHAnsi"/>
      </w:rPr>
      <w:t xml:space="preserve">. </w:t>
    </w:r>
    <w:r w:rsidR="00E339BC">
      <w:rPr>
        <w:rFonts w:asciiTheme="majorHAnsi" w:hAnsiTheme="majorHAnsi"/>
      </w:rPr>
      <w:t>blok</w:t>
    </w:r>
    <w:proofErr w:type="gramEnd"/>
    <w:r w:rsidR="00E339BC">
      <w:rPr>
        <w:rFonts w:asciiTheme="majorHAnsi" w:hAnsiTheme="majorHAnsi"/>
      </w:rPr>
      <w:t xml:space="preserve"> výuky                    24. 2</w:t>
    </w:r>
    <w:r>
      <w:rPr>
        <w:rFonts w:asciiTheme="majorHAnsi" w:hAnsiTheme="majorHAnsi"/>
      </w:rPr>
      <w:t>.2022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E339BC" w:rsidRPr="00E339BC">
      <w:rPr>
        <w:rFonts w:asciiTheme="majorHAnsi" w:hAnsiTheme="majorHAnsi"/>
        <w:noProof/>
      </w:rPr>
      <w:t>10</w:t>
    </w:r>
    <w:r>
      <w:rPr>
        <w:rFonts w:asciiTheme="majorHAnsi" w:hAnsiTheme="majorHAnsi"/>
        <w:noProof/>
      </w:rPr>
      <w:fldChar w:fldCharType="end"/>
    </w:r>
  </w:p>
  <w:p w:rsidR="00F658A2" w:rsidRDefault="00F658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8A2" w:rsidRDefault="00F658A2" w:rsidP="00F658A2">
      <w:pPr>
        <w:spacing w:after="0" w:line="240" w:lineRule="auto"/>
      </w:pPr>
      <w:r>
        <w:separator/>
      </w:r>
    </w:p>
  </w:footnote>
  <w:footnote w:type="continuationSeparator" w:id="0">
    <w:p w:rsidR="00F658A2" w:rsidRDefault="00F658A2" w:rsidP="00F65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B4A3C"/>
    <w:multiLevelType w:val="hybridMultilevel"/>
    <w:tmpl w:val="EE0015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80685"/>
    <w:multiLevelType w:val="hybridMultilevel"/>
    <w:tmpl w:val="873CAD26"/>
    <w:lvl w:ilvl="0" w:tplc="405C5C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407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9C154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AEBB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875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C5C3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6A46C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F858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486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C32AAA"/>
    <w:multiLevelType w:val="hybridMultilevel"/>
    <w:tmpl w:val="E67CC150"/>
    <w:lvl w:ilvl="0" w:tplc="9CDADF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22C5F0">
      <w:start w:val="108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603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0C6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4A87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6C49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50F4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8089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16ED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761195"/>
    <w:multiLevelType w:val="hybridMultilevel"/>
    <w:tmpl w:val="5C32803C"/>
    <w:lvl w:ilvl="0" w:tplc="0F127D0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BE105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E20A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A52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66E8C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EED35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8284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D8F4E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C26A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4387C"/>
    <w:multiLevelType w:val="hybridMultilevel"/>
    <w:tmpl w:val="6186D626"/>
    <w:lvl w:ilvl="0" w:tplc="FB56A6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18DC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B648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40B7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523C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E066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4675D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7C507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62D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0B0992"/>
    <w:multiLevelType w:val="hybridMultilevel"/>
    <w:tmpl w:val="A0F2FD12"/>
    <w:lvl w:ilvl="0" w:tplc="5AF4CF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52E4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F097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0A6B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CE56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8D0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4910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3600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055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D65758"/>
    <w:multiLevelType w:val="hybridMultilevel"/>
    <w:tmpl w:val="749AD686"/>
    <w:lvl w:ilvl="0" w:tplc="B4B661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61F51B8"/>
    <w:multiLevelType w:val="hybridMultilevel"/>
    <w:tmpl w:val="6F06DAF6"/>
    <w:lvl w:ilvl="0" w:tplc="C5DE850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256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A8A1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14AE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711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2062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C886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F891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F0B0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F41373"/>
    <w:multiLevelType w:val="hybridMultilevel"/>
    <w:tmpl w:val="AA7E1F6E"/>
    <w:lvl w:ilvl="0" w:tplc="3E6C027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E01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0EE0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C0614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8EA2D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829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1234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A78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647D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6631EA"/>
    <w:multiLevelType w:val="hybridMultilevel"/>
    <w:tmpl w:val="125CAE42"/>
    <w:lvl w:ilvl="0" w:tplc="87FC4F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46E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92F6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1CDE2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0CCF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26CC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FA21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EE2A0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6DF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2F59BC"/>
    <w:multiLevelType w:val="hybridMultilevel"/>
    <w:tmpl w:val="75C6B55A"/>
    <w:lvl w:ilvl="0" w:tplc="D7E032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76A9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422A0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4A02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A44D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02F9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229A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CB7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06953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914D26"/>
    <w:multiLevelType w:val="hybridMultilevel"/>
    <w:tmpl w:val="BCF802FA"/>
    <w:lvl w:ilvl="0" w:tplc="847866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D00F89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6A41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607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72E8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760D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1C1F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64381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CE7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CD3EDE"/>
    <w:multiLevelType w:val="hybridMultilevel"/>
    <w:tmpl w:val="FB34853C"/>
    <w:lvl w:ilvl="0" w:tplc="CE2627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0485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C4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86D5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85C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BE847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048D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4CA5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9CE1F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51151A"/>
    <w:multiLevelType w:val="hybridMultilevel"/>
    <w:tmpl w:val="937A260C"/>
    <w:lvl w:ilvl="0" w:tplc="F362A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46FD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EA22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024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408C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08A1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047D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7E14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2CD8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43F05"/>
    <w:multiLevelType w:val="hybridMultilevel"/>
    <w:tmpl w:val="C3726318"/>
    <w:lvl w:ilvl="0" w:tplc="25A487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74D8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002E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6FF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68C8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680D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A024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09E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00B3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6E67836"/>
    <w:multiLevelType w:val="hybridMultilevel"/>
    <w:tmpl w:val="E190E022"/>
    <w:lvl w:ilvl="0" w:tplc="149041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4B0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0EEC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65B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36D51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10CDE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2E7F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CABD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88AF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D85F67"/>
    <w:multiLevelType w:val="hybridMultilevel"/>
    <w:tmpl w:val="6A720270"/>
    <w:lvl w:ilvl="0" w:tplc="030C4D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2E8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C269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2E91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5AC5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4A10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9835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BE8C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4DF2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A554EE5"/>
    <w:multiLevelType w:val="hybridMultilevel"/>
    <w:tmpl w:val="04F69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3B1A3A"/>
    <w:multiLevelType w:val="hybridMultilevel"/>
    <w:tmpl w:val="C4A20158"/>
    <w:lvl w:ilvl="0" w:tplc="D4DA26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DC5F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CB87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CD22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72D6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34E90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A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94FF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7CF9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E1E080C"/>
    <w:multiLevelType w:val="hybridMultilevel"/>
    <w:tmpl w:val="B8C6151E"/>
    <w:lvl w:ilvl="0" w:tplc="93EEB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E2DFB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DE455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6D2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62240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58AB3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BE46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AC87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708B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5"/>
  </w:num>
  <w:num w:numId="4">
    <w:abstractNumId w:val="18"/>
  </w:num>
  <w:num w:numId="5">
    <w:abstractNumId w:val="15"/>
  </w:num>
  <w:num w:numId="6">
    <w:abstractNumId w:val="14"/>
  </w:num>
  <w:num w:numId="7">
    <w:abstractNumId w:val="17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3"/>
  </w:num>
  <w:num w:numId="18">
    <w:abstractNumId w:val="13"/>
  </w:num>
  <w:num w:numId="19">
    <w:abstractNumId w:val="1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36"/>
    <w:rsid w:val="00115732"/>
    <w:rsid w:val="002975E2"/>
    <w:rsid w:val="0062390E"/>
    <w:rsid w:val="00772DAE"/>
    <w:rsid w:val="00784ADF"/>
    <w:rsid w:val="00860CE8"/>
    <w:rsid w:val="008C69A0"/>
    <w:rsid w:val="00B47DBE"/>
    <w:rsid w:val="00BD4F66"/>
    <w:rsid w:val="00C54A96"/>
    <w:rsid w:val="00C94236"/>
    <w:rsid w:val="00CF0E6F"/>
    <w:rsid w:val="00E339BC"/>
    <w:rsid w:val="00EA5368"/>
    <w:rsid w:val="00EB5550"/>
    <w:rsid w:val="00F6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236"/>
    <w:pPr>
      <w:ind w:left="720"/>
      <w:contextualSpacing/>
    </w:pPr>
  </w:style>
  <w:style w:type="table" w:styleId="Mkatabulky">
    <w:name w:val="Table Grid"/>
    <w:basedOn w:val="Normlntabulka"/>
    <w:uiPriority w:val="59"/>
    <w:rsid w:val="00C9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8A2"/>
  </w:style>
  <w:style w:type="paragraph" w:styleId="Zpat">
    <w:name w:val="footer"/>
    <w:basedOn w:val="Normln"/>
    <w:link w:val="ZpatChar"/>
    <w:uiPriority w:val="99"/>
    <w:unhideWhenUsed/>
    <w:rsid w:val="00F6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8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4236"/>
    <w:pPr>
      <w:ind w:left="720"/>
      <w:contextualSpacing/>
    </w:pPr>
  </w:style>
  <w:style w:type="table" w:styleId="Mkatabulky">
    <w:name w:val="Table Grid"/>
    <w:basedOn w:val="Normlntabulka"/>
    <w:uiPriority w:val="59"/>
    <w:rsid w:val="00C9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6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58A2"/>
  </w:style>
  <w:style w:type="paragraph" w:styleId="Zpat">
    <w:name w:val="footer"/>
    <w:basedOn w:val="Normln"/>
    <w:link w:val="ZpatChar"/>
    <w:uiPriority w:val="99"/>
    <w:unhideWhenUsed/>
    <w:rsid w:val="00F658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84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58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8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481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6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24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9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63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2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40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18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08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35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81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30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3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293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7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93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94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395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70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1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4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9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3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3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3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4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4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6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9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63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78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40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40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10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05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06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10</Pages>
  <Words>1388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dcterms:created xsi:type="dcterms:W3CDTF">2021-12-27T12:17:00Z</dcterms:created>
  <dcterms:modified xsi:type="dcterms:W3CDTF">2022-02-18T11:26:00Z</dcterms:modified>
</cp:coreProperties>
</file>