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 xml:space="preserve">ÚVOD DO MEZINÁRODNÍHO ÚČETNICTVÍ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stanovení pravidel pro účetnictví, účetní závěrku …  </w:t>
      </w:r>
    </w:p>
    <w:p w:rsidR="00D2336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Právním předpisem </w:t>
      </w:r>
    </w:p>
    <w:p w:rsidR="00D2336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Standardem </w:t>
      </w:r>
    </w:p>
    <w:p w:rsidR="00D2336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Kombinací právního předpisu a standardu </w:t>
      </w:r>
    </w:p>
    <w:p w:rsidR="00D23364" w:rsidRPr="002D70A4" w:rsidRDefault="007611D5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odstraňování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rozdílů mezi jednotlivými způsoby regulace </w:t>
      </w:r>
    </w:p>
    <w:p w:rsidR="00D23364" w:rsidRPr="002D70A4" w:rsidRDefault="007611D5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prohloubení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harmonizace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modely</w:t>
      </w:r>
    </w:p>
    <w:p w:rsidR="00D23364" w:rsidRPr="002D70A4" w:rsidRDefault="007611D5" w:rsidP="002D70A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……………………………….</w:t>
      </w:r>
    </w:p>
    <w:p w:rsidR="00D2336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typické pro země s velkým peněžním a kapitálovým trhem, </w:t>
      </w:r>
    </w:p>
    <w:p w:rsidR="00D2336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účetnictví je zaměřeno na externí uživatele,</w:t>
      </w:r>
    </w:p>
    <w:p w:rsidR="00D2336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 způsoby účtování jsou usměrňovány profesními organizacemi  </w:t>
      </w:r>
    </w:p>
    <w:p w:rsidR="00D2336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Velká Británie, USA, Nizozemsko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……………………………………….</w:t>
      </w:r>
    </w:p>
    <w:p w:rsidR="00D2336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Úzká vazba mezi účetním a daňovým systémem </w:t>
      </w:r>
    </w:p>
    <w:p w:rsidR="00D2336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Účetnictví je regulováno právními normami </w:t>
      </w:r>
    </w:p>
    <w:p w:rsidR="00D2336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Evropa, Japonsko, Francouzsky mluvící africké země </w:t>
      </w:r>
    </w:p>
    <w:p w:rsidR="002D70A4" w:rsidRPr="002D70A4" w:rsidRDefault="002D70A4" w:rsidP="002D70A4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</w:t>
      </w:r>
    </w:p>
    <w:p w:rsidR="00D2336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Inflační účetnictví </w:t>
      </w:r>
    </w:p>
    <w:p w:rsidR="00D2336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Účetnictví je zaměřeno na potřeby vlády a daňových orgánů </w:t>
      </w:r>
    </w:p>
    <w:p w:rsidR="002D70A4" w:rsidRPr="002D70A4" w:rsidRDefault="002D70A4" w:rsidP="002D70A4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……………………………………….</w:t>
      </w:r>
    </w:p>
    <w:p w:rsidR="00D2336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Zohledňuje přechod od centrálně řízené ekonomice k tržní </w:t>
      </w:r>
    </w:p>
    <w:p w:rsidR="00D2336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 zemích bývalého Sovětského svazu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>Harmonizace v EU</w:t>
      </w:r>
    </w:p>
    <w:p w:rsidR="00D2336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Převážně pomocí „direktiv“</w:t>
      </w:r>
    </w:p>
    <w:p w:rsidR="00D2336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Vydávány v letech 1968 – 1989</w:t>
      </w:r>
    </w:p>
    <w:p w:rsidR="00D2336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Nejsou uznávány světovými burzami</w:t>
      </w:r>
    </w:p>
    <w:p w:rsidR="00D2336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Od roku 2000 harmonizační strategie „cesta vpřed“ – orientace na IAS/IFRS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</w:t>
      </w:r>
      <w:r w:rsidR="002D70A4" w:rsidRPr="002D70A4">
        <w:rPr>
          <w:rFonts w:ascii="Times New Roman" w:hAnsi="Times New Roman" w:cs="Times New Roman"/>
          <w:b/>
          <w:bCs/>
          <w:sz w:val="24"/>
        </w:rPr>
        <w:t xml:space="preserve"> (78/660/EHS), o ročních účetních závěrkách </w:t>
      </w:r>
    </w:p>
    <w:p w:rsidR="00D23364" w:rsidRPr="002D70A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Upravuje obsah a požadavky účetní závěrky středních a velkých účetních jednotek</w:t>
      </w:r>
    </w:p>
    <w:p w:rsidR="00D23364" w:rsidRPr="002D70A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Stanovení závazných vzorů rozvahy a výsledovky (</w:t>
      </w:r>
      <w:r w:rsidR="007611D5">
        <w:rPr>
          <w:rFonts w:ascii="Times New Roman" w:hAnsi="Times New Roman" w:cs="Times New Roman"/>
          <w:sz w:val="24"/>
        </w:rPr>
        <w:t>….</w:t>
      </w:r>
      <w:r w:rsidRPr="002D70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70A4">
        <w:rPr>
          <w:rFonts w:ascii="Times New Roman" w:hAnsi="Times New Roman" w:cs="Times New Roman"/>
          <w:sz w:val="24"/>
        </w:rPr>
        <w:t>vzory</w:t>
      </w:r>
      <w:proofErr w:type="gramEnd"/>
      <w:r w:rsidRPr="002D70A4">
        <w:rPr>
          <w:rFonts w:ascii="Times New Roman" w:hAnsi="Times New Roman" w:cs="Times New Roman"/>
          <w:sz w:val="24"/>
        </w:rPr>
        <w:t xml:space="preserve"> rozvahy – horizontální, vertikální, </w:t>
      </w:r>
      <w:r w:rsidR="007611D5">
        <w:rPr>
          <w:rFonts w:ascii="Times New Roman" w:hAnsi="Times New Roman" w:cs="Times New Roman"/>
          <w:sz w:val="24"/>
        </w:rPr>
        <w:t>….</w:t>
      </w:r>
      <w:r w:rsidRPr="002D70A4">
        <w:rPr>
          <w:rFonts w:ascii="Times New Roman" w:hAnsi="Times New Roman" w:cs="Times New Roman"/>
          <w:sz w:val="24"/>
        </w:rPr>
        <w:t xml:space="preserve"> vzory výsledovky)</w:t>
      </w:r>
    </w:p>
    <w:p w:rsidR="00D2336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účetní závěrka je sestavena z rozvahy, výsledovky a přílohy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Pr="002D70A4" w:rsidRDefault="007611D5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(aktiv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a pasiv, nákladů a výnosů)</w:t>
      </w:r>
    </w:p>
    <w:p w:rsidR="00D2336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přechodné položky nutno vykázat v samostatné položce aktiv nebo pasiv dává členským státům x možnost vykazovat příjmy příštích období v položce pohledávky a výnosy příštích období v položce závazky </w:t>
      </w:r>
    </w:p>
    <w:p w:rsidR="00D2336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Uvedené neplatí pro náklady a výnosy příštích období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………………………………….</w:t>
      </w:r>
      <w:r w:rsidR="002D70A4" w:rsidRPr="002D70A4">
        <w:rPr>
          <w:rFonts w:ascii="Times New Roman" w:hAnsi="Times New Roman" w:cs="Times New Roman"/>
          <w:b/>
          <w:bCs/>
          <w:sz w:val="24"/>
        </w:rPr>
        <w:t xml:space="preserve"> (83/349/EHS), o konsolidovaných účetních závěrkách</w:t>
      </w:r>
    </w:p>
    <w:p w:rsidR="00D23364" w:rsidRPr="002D70A4" w:rsidRDefault="002D70A4" w:rsidP="002D70A4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Upravuje pravidla pro sestavení konsolidovaných účetních závěrek a výročních zpráv</w:t>
      </w:r>
    </w:p>
    <w:p w:rsidR="00D2336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Podmínky pro sestavení účetní závěrky </w:t>
      </w:r>
    </w:p>
    <w:p w:rsidR="00D2336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Metody konsolidace</w:t>
      </w:r>
    </w:p>
    <w:p w:rsidR="00D2336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Konsolidovaná výroční zpráva</w:t>
      </w:r>
    </w:p>
    <w:p w:rsidR="00D23364" w:rsidRPr="002D70A4" w:rsidRDefault="007611D5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:rsidR="00D2336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Zveřejnění účetní závěrky</w:t>
      </w:r>
    </w:p>
    <w:p w:rsidR="00D2336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Přechodná a závěrečná ustanovení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Od roku 1995 „</w:t>
      </w:r>
      <w:r w:rsidR="007611D5">
        <w:rPr>
          <w:rFonts w:ascii="Times New Roman" w:hAnsi="Times New Roman" w:cs="Times New Roman"/>
          <w:sz w:val="24"/>
        </w:rPr>
        <w:t>……………………………………………………</w:t>
      </w:r>
      <w:r w:rsidRPr="002D70A4">
        <w:rPr>
          <w:rFonts w:ascii="Times New Roman" w:hAnsi="Times New Roman" w:cs="Times New Roman"/>
          <w:sz w:val="24"/>
        </w:rPr>
        <w:t xml:space="preserve">“ </w:t>
      </w:r>
    </w:p>
    <w:p w:rsidR="00D2336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Od roku 2000 harmonizační strategie „</w:t>
      </w:r>
      <w:r w:rsidR="007611D5">
        <w:rPr>
          <w:rFonts w:ascii="Times New Roman" w:hAnsi="Times New Roman" w:cs="Times New Roman"/>
          <w:sz w:val="24"/>
        </w:rPr>
        <w:t>…………………</w:t>
      </w:r>
      <w:r w:rsidRPr="002D70A4">
        <w:rPr>
          <w:rFonts w:ascii="Times New Roman" w:hAnsi="Times New Roman" w:cs="Times New Roman"/>
          <w:sz w:val="24"/>
        </w:rPr>
        <w:t>“ – orientace na IAS/IFRS – povinnost sestavit účetní závěrku v souladu s IAS/IFRS nejpozději od roku 2005 – vydáno formou nařízení (nikoliv směrnice)</w:t>
      </w:r>
    </w:p>
    <w:p w:rsidR="00D2336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Implementace v ČR: účetní jednotky, které jsou obchodní společností a jsou emitentem cenných papírů registrovaných na regulovaném trhu cenných papírů v členských státech EU, musí účtovat a sestavovat účetních závěrku v souladu s IAS/IFRS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Směrnice </w:t>
      </w:r>
      <w:r w:rsidR="007611D5">
        <w:rPr>
          <w:rFonts w:ascii="Times New Roman" w:hAnsi="Times New Roman" w:cs="Times New Roman"/>
          <w:b/>
          <w:bCs/>
          <w:sz w:val="24"/>
        </w:rPr>
        <w:t>…………….</w:t>
      </w:r>
      <w:r w:rsidRPr="002D70A4">
        <w:rPr>
          <w:rFonts w:ascii="Times New Roman" w:hAnsi="Times New Roman" w:cs="Times New Roman"/>
          <w:sz w:val="24"/>
        </w:rPr>
        <w:t xml:space="preserve"> Evropského parlamentu a Rady o ročních účetních závěrkách, konsolidovaných účetních závěrkách a souvisejících zprávách některých forem podniků, o změně směrnice Evropského parlamentu a Rady 2006/43/ES a o zrušení směrnic Rady 78/660/EHS a 83/349/EHS. </w:t>
      </w:r>
    </w:p>
    <w:p w:rsidR="00D2336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Členské státy EU jsou povinny mít právní předpisy v souladu s touto směrnicí do 20. května 2015</w:t>
      </w:r>
    </w:p>
    <w:p w:rsidR="00D2336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Definice </w:t>
      </w:r>
      <w:r w:rsidR="007611D5">
        <w:rPr>
          <w:rFonts w:ascii="Times New Roman" w:hAnsi="Times New Roman" w:cs="Times New Roman"/>
          <w:sz w:val="24"/>
        </w:rPr>
        <w:t>……………………</w:t>
      </w:r>
      <w:r w:rsidRPr="002D70A4">
        <w:rPr>
          <w:rFonts w:ascii="Times New Roman" w:hAnsi="Times New Roman" w:cs="Times New Roman"/>
          <w:sz w:val="24"/>
        </w:rPr>
        <w:t>, malého podniku, středního podniku, velkého podniku</w:t>
      </w:r>
    </w:p>
    <w:p w:rsidR="00D2336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2D70A4">
        <w:rPr>
          <w:rFonts w:ascii="Times New Roman" w:hAnsi="Times New Roman" w:cs="Times New Roman"/>
          <w:sz w:val="24"/>
        </w:rPr>
        <w:t>Mikropodnik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– nepřekročí 2 z uvedených: bilanční suma 9 mil Kč, obrat 18 mil. Kč, počet zaměstnanců 10</w:t>
      </w:r>
    </w:p>
    <w:p w:rsidR="00D23364" w:rsidRPr="002D70A4" w:rsidRDefault="007611D5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nepřekročí 2 z uvedených: bilanční suma 100 mil. Kč, obrat 200 mil. Kč, počet zaměstnanců </w:t>
      </w:r>
      <w:r>
        <w:rPr>
          <w:rFonts w:ascii="Times New Roman" w:hAnsi="Times New Roman" w:cs="Times New Roman"/>
          <w:sz w:val="24"/>
        </w:rPr>
        <w:t>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D2336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Střední podnik – nepřekročí 2 z uvedených: bilanční suma 500 mil. Kč, obrat 1 000 mil. Kč, počet zaměstnanců </w:t>
      </w:r>
      <w:r w:rsidR="007611D5">
        <w:rPr>
          <w:rFonts w:ascii="Times New Roman" w:hAnsi="Times New Roman" w:cs="Times New Roman"/>
          <w:sz w:val="24"/>
        </w:rPr>
        <w:t>…………….</w:t>
      </w:r>
      <w:bookmarkStart w:id="0" w:name="_GoBack"/>
      <w:bookmarkEnd w:id="0"/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Velký podnik – překročí </w:t>
      </w:r>
      <w:r w:rsidR="007611D5">
        <w:rPr>
          <w:rFonts w:ascii="Times New Roman" w:hAnsi="Times New Roman" w:cs="Times New Roman"/>
          <w:sz w:val="24"/>
        </w:rPr>
        <w:t>…</w:t>
      </w:r>
      <w:proofErr w:type="gramStart"/>
      <w:r w:rsidR="007611D5">
        <w:rPr>
          <w:rFonts w:ascii="Times New Roman" w:hAnsi="Times New Roman" w:cs="Times New Roman"/>
          <w:sz w:val="24"/>
        </w:rPr>
        <w:t>…..</w:t>
      </w:r>
      <w:r w:rsidRPr="002D70A4">
        <w:rPr>
          <w:rFonts w:ascii="Times New Roman" w:hAnsi="Times New Roman" w:cs="Times New Roman"/>
          <w:sz w:val="24"/>
        </w:rPr>
        <w:t xml:space="preserve"> z uvedených</w:t>
      </w:r>
      <w:proofErr w:type="gramEnd"/>
      <w:r w:rsidRPr="002D70A4">
        <w:rPr>
          <w:rFonts w:ascii="Times New Roman" w:hAnsi="Times New Roman" w:cs="Times New Roman"/>
          <w:sz w:val="24"/>
        </w:rPr>
        <w:t xml:space="preserve"> pro střední podnik </w:t>
      </w:r>
    </w:p>
    <w:p w:rsidR="00D2336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Vymezení subjektů veřejného zájmu</w:t>
      </w:r>
    </w:p>
    <w:p w:rsidR="00D2336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Možnost osvobození </w:t>
      </w:r>
      <w:proofErr w:type="spellStart"/>
      <w:r w:rsidRPr="002D70A4">
        <w:rPr>
          <w:rFonts w:ascii="Times New Roman" w:hAnsi="Times New Roman" w:cs="Times New Roman"/>
          <w:sz w:val="24"/>
        </w:rPr>
        <w:t>mikropodniků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od zveřejňování účetní závěrky</w:t>
      </w:r>
    </w:p>
    <w:p w:rsidR="00D2336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finanční pozici – malý podnik, střední podnik – zkrácená rozvaha</w:t>
      </w:r>
    </w:p>
    <w:p w:rsidR="00D23364" w:rsidRPr="002D70A4" w:rsidRDefault="007611D5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malý podnik, střední podnik – zkrácený výkaz, malý podnik nemusí zveřejnit </w:t>
      </w:r>
    </w:p>
    <w:p w:rsidR="00D23364" w:rsidRPr="002D70A4" w:rsidRDefault="007611D5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nemusí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vypracovávat </w:t>
      </w:r>
      <w:proofErr w:type="spellStart"/>
      <w:r w:rsidR="002D70A4" w:rsidRPr="002D70A4">
        <w:rPr>
          <w:rFonts w:ascii="Times New Roman" w:hAnsi="Times New Roman" w:cs="Times New Roman"/>
          <w:sz w:val="24"/>
        </w:rPr>
        <w:t>mikropodnik</w:t>
      </w:r>
      <w:proofErr w:type="spellEnd"/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lastRenderedPageBreak/>
        <w:t>IFRS</w:t>
      </w:r>
    </w:p>
    <w:p w:rsidR="007611D5" w:rsidRPr="002D70A4" w:rsidRDefault="007611D5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2336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2D70A4">
        <w:rPr>
          <w:rFonts w:ascii="Times New Roman" w:hAnsi="Times New Roman" w:cs="Times New Roman"/>
          <w:sz w:val="24"/>
        </w:rPr>
        <w:t xml:space="preserve">Vysoce </w:t>
      </w:r>
      <w:r w:rsidR="007611D5">
        <w:rPr>
          <w:rFonts w:ascii="Times New Roman" w:hAnsi="Times New Roman" w:cs="Times New Roman"/>
          <w:sz w:val="24"/>
        </w:rPr>
        <w:t>,…</w:t>
      </w:r>
      <w:proofErr w:type="gramEnd"/>
      <w:r w:rsidR="007611D5">
        <w:rPr>
          <w:rFonts w:ascii="Times New Roman" w:hAnsi="Times New Roman" w:cs="Times New Roman"/>
          <w:sz w:val="24"/>
        </w:rPr>
        <w:t>………………………………</w:t>
      </w:r>
    </w:p>
    <w:p w:rsidR="00D2336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Mají mnohaletou tradici</w:t>
      </w:r>
    </w:p>
    <w:p w:rsidR="00D2336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Soubor IFRS zahrnuje:</w:t>
      </w:r>
    </w:p>
    <w:p w:rsidR="00D2336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Úvod a předmluvu</w:t>
      </w:r>
    </w:p>
    <w:p w:rsidR="00D23364" w:rsidRPr="002D70A4" w:rsidRDefault="007611D5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:rsidR="00D2336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Účetní standardy </w:t>
      </w:r>
      <w:r w:rsidR="007611D5">
        <w:rPr>
          <w:rFonts w:ascii="Times New Roman" w:hAnsi="Times New Roman" w:cs="Times New Roman"/>
          <w:sz w:val="24"/>
        </w:rPr>
        <w:t>…………………………….</w:t>
      </w:r>
    </w:p>
    <w:p w:rsidR="00D2336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Interpretace </w:t>
      </w:r>
      <w:r w:rsidR="007611D5">
        <w:rPr>
          <w:rFonts w:ascii="Times New Roman" w:hAnsi="Times New Roman" w:cs="Times New Roman"/>
          <w:sz w:val="24"/>
        </w:rPr>
        <w:t>…………………</w:t>
      </w:r>
      <w:proofErr w:type="gramStart"/>
      <w:r w:rsidR="007611D5">
        <w:rPr>
          <w:rFonts w:ascii="Times New Roman" w:hAnsi="Times New Roman" w:cs="Times New Roman"/>
          <w:sz w:val="24"/>
        </w:rPr>
        <w:t>…..</w:t>
      </w:r>
      <w:proofErr w:type="gramEnd"/>
    </w:p>
    <w:p w:rsidR="00D2336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Smyslem je prosazení jednotné formy při sestavování a prezentaci účetních výkazů, než striktní stanovení účtování =&gt; cílem je harmonizovat </w:t>
      </w:r>
      <w:r w:rsidRPr="002D70A4">
        <w:rPr>
          <w:rFonts w:ascii="Times New Roman" w:hAnsi="Times New Roman" w:cs="Times New Roman"/>
          <w:b/>
          <w:bCs/>
          <w:sz w:val="24"/>
        </w:rPr>
        <w:t>výkaznictv</w:t>
      </w:r>
      <w:r w:rsidRPr="002D70A4">
        <w:rPr>
          <w:rFonts w:ascii="Times New Roman" w:hAnsi="Times New Roman" w:cs="Times New Roman"/>
          <w:sz w:val="24"/>
        </w:rPr>
        <w:t xml:space="preserve">í, nikoliv účtování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IAS – </w:t>
      </w:r>
      <w:r w:rsidR="007611D5">
        <w:rPr>
          <w:rFonts w:ascii="Times New Roman" w:hAnsi="Times New Roman" w:cs="Times New Roman"/>
          <w:sz w:val="24"/>
        </w:rPr>
        <w:t>………………………………………</w:t>
      </w:r>
    </w:p>
    <w:p w:rsidR="00D23364" w:rsidRPr="002D70A4" w:rsidRDefault="007611D5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Výbor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pro mezinárodní účetní standardy</w:t>
      </w:r>
    </w:p>
    <w:p w:rsidR="00D2336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Nezávislá profesní organizace na základě dohody profesních účetních institucí </w:t>
      </w:r>
    </w:p>
    <w:p w:rsidR="00D2336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IAS </w:t>
      </w:r>
    </w:p>
    <w:p w:rsidR="00D23364" w:rsidRPr="002D70A4" w:rsidRDefault="007611D5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</w:t>
      </w:r>
      <w:r w:rsidR="002D70A4" w:rsidRPr="002D70A4">
        <w:rPr>
          <w:rFonts w:ascii="Times New Roman" w:hAnsi="Times New Roman" w:cs="Times New Roman"/>
          <w:sz w:val="24"/>
        </w:rPr>
        <w:t xml:space="preserve"> – Stálý interpretační výbor </w:t>
      </w:r>
    </w:p>
    <w:p w:rsidR="00D2336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interpretace SIC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IFRS – </w:t>
      </w:r>
      <w:r w:rsidR="007611D5">
        <w:rPr>
          <w:rFonts w:ascii="Times New Roman" w:hAnsi="Times New Roman" w:cs="Times New Roman"/>
          <w:sz w:val="24"/>
        </w:rPr>
        <w:t>…………………………………</w:t>
      </w:r>
    </w:p>
    <w:p w:rsidR="00D23364" w:rsidRPr="002D70A4" w:rsidRDefault="007611D5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….</w:t>
      </w:r>
      <w:r w:rsidR="002D70A4" w:rsidRPr="002D70A4">
        <w:rPr>
          <w:rFonts w:ascii="Times New Roman" w:hAnsi="Times New Roman" w:cs="Times New Roman"/>
          <w:sz w:val="24"/>
        </w:rPr>
        <w:t>– Rada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pro Mezinárodní účetní standardy</w:t>
      </w:r>
    </w:p>
    <w:p w:rsidR="00D2336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</w:t>
      </w:r>
      <w:r w:rsidR="007611D5">
        <w:rPr>
          <w:rFonts w:ascii="Times New Roman" w:hAnsi="Times New Roman" w:cs="Times New Roman"/>
          <w:sz w:val="24"/>
        </w:rPr>
        <w:t>………….</w:t>
      </w:r>
    </w:p>
    <w:p w:rsidR="00D2336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12 členů</w:t>
      </w:r>
    </w:p>
    <w:p w:rsidR="00D2336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Cílem je vytvořit účetní standardy prosazované na celosvětové úrovni </w:t>
      </w:r>
    </w:p>
    <w:p w:rsidR="00D23364" w:rsidRPr="002D70A4" w:rsidRDefault="007611D5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Výbor pro interpretace Mezinárodních standardů účetního výkaznictví</w:t>
      </w:r>
    </w:p>
    <w:p w:rsidR="00D2336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IFRIC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standardu </w:t>
      </w:r>
    </w:p>
    <w:p w:rsidR="00D2336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Obsah</w:t>
      </w:r>
    </w:p>
    <w:p w:rsidR="00D23364" w:rsidRPr="002D70A4" w:rsidRDefault="007611D5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……………..</w:t>
      </w:r>
    </w:p>
    <w:p w:rsidR="00D2336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Text standardu - definice pojmů, způsoby oceňování, kritéria pro vykázání položky v účetní závěrce</w:t>
      </w:r>
    </w:p>
    <w:p w:rsidR="00D2336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Požadavky na zveřejnění</w:t>
      </w:r>
    </w:p>
    <w:p w:rsidR="00D23364" w:rsidRPr="002D70A4" w:rsidRDefault="007611D5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</w:t>
      </w:r>
    </w:p>
    <w:p w:rsidR="00D2336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Dodatek</w:t>
      </w:r>
    </w:p>
    <w:p w:rsidR="00D2336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Ilustrativní příklady 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Postup při tvorbě standardu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návrh tématu, zvážení, zda je nutno danou oblast upravit samostatným standardem,</w:t>
      </w:r>
    </w:p>
    <w:p w:rsidR="00D23364" w:rsidRPr="002D70A4" w:rsidRDefault="007611D5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, 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konzultace s Poradním sborem,</w:t>
      </w:r>
    </w:p>
    <w:p w:rsidR="00D23364" w:rsidRPr="002D70A4" w:rsidRDefault="007611D5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2D70A4" w:rsidRPr="002D70A4">
        <w:rPr>
          <w:rFonts w:ascii="Times New Roman" w:hAnsi="Times New Roman" w:cs="Times New Roman"/>
          <w:sz w:val="24"/>
        </w:rPr>
        <w:t>,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diskuzních materiálů k veřejnému připomínkování,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zveřejněného návrhu standardu,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závěrů v rámci zveřejněného návrhu,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posouzení připomínek, 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schválení standardu, </w:t>
      </w:r>
    </w:p>
    <w:p w:rsidR="00D2336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zdůvodnění závěrů v rámci standardu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7611D5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Není účetním standardem 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Účel a cíl koncepčního rámce 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Je východiskem pro </w:t>
      </w:r>
      <w:r w:rsidR="007611D5">
        <w:rPr>
          <w:rFonts w:ascii="Times New Roman" w:hAnsi="Times New Roman" w:cs="Times New Roman"/>
          <w:sz w:val="24"/>
        </w:rPr>
        <w:t>………………………………………</w:t>
      </w:r>
      <w:r w:rsidRPr="002D70A4">
        <w:rPr>
          <w:rFonts w:ascii="Times New Roman" w:hAnsi="Times New Roman" w:cs="Times New Roman"/>
          <w:sz w:val="24"/>
        </w:rPr>
        <w:t xml:space="preserve"> 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Výkazy informují o finanční pozici, výkonnosti a změnách ve finanční pozici 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Základní </w:t>
      </w:r>
      <w:r w:rsidRPr="002D70A4">
        <w:rPr>
          <w:rFonts w:ascii="Times New Roman" w:hAnsi="Times New Roman" w:cs="Times New Roman"/>
          <w:b/>
          <w:bCs/>
          <w:sz w:val="24"/>
        </w:rPr>
        <w:t>prvky účetní závěrky</w:t>
      </w:r>
      <w:r w:rsidRPr="002D70A4">
        <w:rPr>
          <w:rFonts w:ascii="Times New Roman" w:hAnsi="Times New Roman" w:cs="Times New Roman"/>
          <w:sz w:val="24"/>
        </w:rPr>
        <w:t xml:space="preserve">: </w:t>
      </w:r>
      <w:r w:rsidR="007611D5">
        <w:rPr>
          <w:rFonts w:ascii="Times New Roman" w:hAnsi="Times New Roman" w:cs="Times New Roman"/>
          <w:sz w:val="24"/>
        </w:rPr>
        <w:t>…………………</w:t>
      </w:r>
      <w:r w:rsidRPr="002D70A4">
        <w:rPr>
          <w:rFonts w:ascii="Times New Roman" w:hAnsi="Times New Roman" w:cs="Times New Roman"/>
          <w:sz w:val="24"/>
        </w:rPr>
        <w:t xml:space="preserve">, vlastní kapitál, náklady, výnosy </w:t>
      </w:r>
    </w:p>
    <w:p w:rsidR="00D2336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Oceňování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7611D5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D2336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Standard pro malé a střední podniky (jednotky)</w:t>
      </w:r>
    </w:p>
    <w:p w:rsidR="00D2336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Zjednodušená verze plných IFRS</w:t>
      </w:r>
    </w:p>
    <w:p w:rsidR="00D2336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Malý a střední podnik:</w:t>
      </w:r>
    </w:p>
    <w:p w:rsidR="00D23364" w:rsidRPr="002D70A4" w:rsidRDefault="002D70A4" w:rsidP="002D70A4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Podnik, který nemá veřejnou odpovědnost </w:t>
      </w:r>
    </w:p>
    <w:p w:rsidR="00D23364" w:rsidRPr="002D70A4" w:rsidRDefault="002D70A4" w:rsidP="002D70A4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Podnik, který uveřejňuje účetní závěrku pro externího uživatele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Účetní závěrka dle IFRS pro SME</w:t>
      </w:r>
    </w:p>
    <w:p w:rsidR="00D2336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 </w:t>
      </w:r>
      <w:r w:rsidR="007611D5">
        <w:rPr>
          <w:rFonts w:ascii="Times New Roman" w:hAnsi="Times New Roman" w:cs="Times New Roman"/>
          <w:sz w:val="24"/>
        </w:rPr>
        <w:t>………………………</w:t>
      </w:r>
    </w:p>
    <w:p w:rsidR="00D2336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 </w:t>
      </w:r>
      <w:r w:rsidR="007611D5">
        <w:rPr>
          <w:rFonts w:ascii="Times New Roman" w:hAnsi="Times New Roman" w:cs="Times New Roman"/>
          <w:sz w:val="24"/>
        </w:rPr>
        <w:t>…………………………………</w:t>
      </w:r>
      <w:proofErr w:type="gramStart"/>
      <w:r w:rsidR="007611D5">
        <w:rPr>
          <w:rFonts w:ascii="Times New Roman" w:hAnsi="Times New Roman" w:cs="Times New Roman"/>
          <w:sz w:val="24"/>
        </w:rPr>
        <w:t>…..</w:t>
      </w:r>
      <w:proofErr w:type="gramEnd"/>
    </w:p>
    <w:p w:rsidR="00D2336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 </w:t>
      </w:r>
      <w:r w:rsidR="007611D5">
        <w:rPr>
          <w:rFonts w:ascii="Times New Roman" w:hAnsi="Times New Roman" w:cs="Times New Roman"/>
          <w:sz w:val="24"/>
        </w:rPr>
        <w:t>……………………………</w:t>
      </w:r>
    </w:p>
    <w:p w:rsidR="00D2336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 </w:t>
      </w:r>
      <w:r w:rsidR="007611D5">
        <w:rPr>
          <w:rFonts w:ascii="Times New Roman" w:hAnsi="Times New Roman" w:cs="Times New Roman"/>
          <w:sz w:val="24"/>
        </w:rPr>
        <w:t>…………………………………</w:t>
      </w:r>
      <w:proofErr w:type="gramStart"/>
      <w:r w:rsidR="007611D5">
        <w:rPr>
          <w:rFonts w:ascii="Times New Roman" w:hAnsi="Times New Roman" w:cs="Times New Roman"/>
          <w:sz w:val="24"/>
        </w:rPr>
        <w:t>…..</w:t>
      </w:r>
      <w:proofErr w:type="gramEnd"/>
    </w:p>
    <w:p w:rsidR="00D2336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Komentář </w:t>
      </w: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úplném VH a výkaz změn VK může být nahrazen výkazem o výsledku a zadržených ziscích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IFRS pro SME neupravuje:</w:t>
      </w:r>
    </w:p>
    <w:p w:rsidR="00D23364" w:rsidRPr="002D70A4" w:rsidRDefault="007611D5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</w:p>
    <w:p w:rsidR="00D2336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2D70A4">
        <w:rPr>
          <w:rFonts w:ascii="Times New Roman" w:hAnsi="Times New Roman" w:cs="Times New Roman"/>
          <w:sz w:val="24"/>
        </w:rPr>
        <w:t>Mezitimní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účetní závěrka</w:t>
      </w:r>
    </w:p>
    <w:p w:rsidR="00D2336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Vykazování podle segmentů</w:t>
      </w:r>
    </w:p>
    <w:p w:rsidR="00D2336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Pojištění</w:t>
      </w:r>
    </w:p>
    <w:p w:rsidR="00D2336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Aktiva určená k prodeji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lastRenderedPageBreak/>
        <w:t>IFRS pro SME nepoužívá tyto metody a účetní postupy:</w:t>
      </w:r>
    </w:p>
    <w:p w:rsidR="00D2336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Kapitalizace </w:t>
      </w:r>
      <w:proofErr w:type="spellStart"/>
      <w:r w:rsidRPr="002D70A4">
        <w:rPr>
          <w:rFonts w:ascii="Times New Roman" w:hAnsi="Times New Roman" w:cs="Times New Roman"/>
          <w:sz w:val="24"/>
        </w:rPr>
        <w:t>vypůjčních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nákladů</w:t>
      </w:r>
    </w:p>
    <w:p w:rsidR="00D23364" w:rsidRPr="002D70A4" w:rsidRDefault="007611D5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D2336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Přeceňování model pro pozemky, budovy a zařízení</w:t>
      </w:r>
    </w:p>
    <w:p w:rsidR="00D2336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Poměrná konsolidace podílů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lastRenderedPageBreak/>
        <w:t>US GAAP</w:t>
      </w:r>
    </w:p>
    <w:p w:rsidR="007611D5" w:rsidRPr="002D70A4" w:rsidRDefault="007611D5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23364" w:rsidRPr="002D70A4" w:rsidRDefault="007611D5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= GENERALLY ACCEPTED ACCOUNTING PRINCIPLES</w:t>
      </w:r>
    </w:p>
    <w:p w:rsidR="00D2336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začaly se vydávat ve 30. letech min. století, vznikly jako přímý důsledek krachu na newyorské burze</w:t>
      </w:r>
    </w:p>
    <w:p w:rsidR="00D2336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představují nejucelenější a nejvypracovanější soubor požadavků na obsah, formu a zveřejňování účetních závěrek</w:t>
      </w:r>
    </w:p>
    <w:p w:rsidR="00D2336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nejúplnější systém regulace účetnictví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zahrnují:</w:t>
      </w:r>
    </w:p>
    <w:p w:rsidR="00D23364" w:rsidRPr="002D70A4" w:rsidRDefault="007611D5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SFAC</w:t>
      </w:r>
    </w:p>
    <w:p w:rsidR="00D23364" w:rsidRPr="002D70A4" w:rsidRDefault="007611D5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SFAS </w:t>
      </w:r>
    </w:p>
    <w:p w:rsidR="00D23364" w:rsidRPr="002D70A4" w:rsidRDefault="007611D5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FIN </w:t>
      </w:r>
    </w:p>
    <w:p w:rsidR="00D2336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Finální stanoviska Rady – </w:t>
      </w:r>
      <w:proofErr w:type="spellStart"/>
      <w:r w:rsidRPr="002D70A4">
        <w:rPr>
          <w:rFonts w:ascii="Times New Roman" w:hAnsi="Times New Roman" w:cs="Times New Roman"/>
          <w:sz w:val="24"/>
        </w:rPr>
        <w:t>FSPs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</w:t>
      </w:r>
    </w:p>
    <w:p w:rsidR="00D2336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Technické věstníky – TB </w:t>
      </w:r>
    </w:p>
    <w:p w:rsidR="007611D5" w:rsidRPr="007611D5" w:rsidRDefault="007611D5" w:rsidP="007611D5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D23364" w:rsidRPr="002D70A4" w:rsidRDefault="002D70A4" w:rsidP="007611D5">
      <w:pPr>
        <w:spacing w:after="0"/>
        <w:ind w:left="72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Základní zásady </w:t>
      </w:r>
      <w:r w:rsidRPr="002D70A4">
        <w:rPr>
          <w:rFonts w:ascii="Times New Roman" w:hAnsi="Times New Roman" w:cs="Times New Roman"/>
          <w:sz w:val="24"/>
        </w:rPr>
        <w:t xml:space="preserve">– </w:t>
      </w:r>
      <w:r w:rsidR="007611D5">
        <w:rPr>
          <w:rFonts w:ascii="Times New Roman" w:hAnsi="Times New Roman" w:cs="Times New Roman"/>
          <w:sz w:val="24"/>
        </w:rPr>
        <w:t>…………………….</w:t>
      </w:r>
      <w:r w:rsidRPr="002D70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70A4">
        <w:rPr>
          <w:rFonts w:ascii="Times New Roman" w:hAnsi="Times New Roman" w:cs="Times New Roman"/>
          <w:sz w:val="24"/>
        </w:rPr>
        <w:t>rozpoznání</w:t>
      </w:r>
      <w:proofErr w:type="gramEnd"/>
      <w:r w:rsidRPr="002D70A4">
        <w:rPr>
          <w:rFonts w:ascii="Times New Roman" w:hAnsi="Times New Roman" w:cs="Times New Roman"/>
          <w:sz w:val="24"/>
        </w:rPr>
        <w:t xml:space="preserve"> tržeb, omezení, zásada opatrnosti, akruální báze, zásada konzistence, objektivity</w:t>
      </w:r>
      <w:r w:rsidR="007611D5">
        <w:rPr>
          <w:rFonts w:ascii="Times New Roman" w:hAnsi="Times New Roman" w:cs="Times New Roman"/>
          <w:sz w:val="24"/>
        </w:rPr>
        <w:t>……………………</w:t>
      </w:r>
      <w:r w:rsidRPr="002D70A4">
        <w:rPr>
          <w:rFonts w:ascii="Times New Roman" w:hAnsi="Times New Roman" w:cs="Times New Roman"/>
          <w:sz w:val="24"/>
        </w:rPr>
        <w:t xml:space="preserve">, předpoklad trvání podniku, věrný a poctivý obraz, průmyslové zvyklosti 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  <w:r w:rsidR="002D70A4" w:rsidRPr="002D70A4">
        <w:rPr>
          <w:rFonts w:ascii="Times New Roman" w:hAnsi="Times New Roman" w:cs="Times New Roman"/>
          <w:sz w:val="24"/>
        </w:rPr>
        <w:t xml:space="preserve"> = Rada pro účetní standardy</w:t>
      </w:r>
    </w:p>
    <w:p w:rsidR="00D23364" w:rsidRPr="002D70A4" w:rsidRDefault="002D70A4" w:rsidP="002D70A4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Úkolem je tvorba účetních standardů, které jsou uznávány burzou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zásady US GAAP</w:t>
      </w:r>
    </w:p>
    <w:p w:rsidR="00D23364" w:rsidRPr="002D70A4" w:rsidRDefault="007611D5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ocenění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historickou – pořizovací cenou</w:t>
      </w:r>
    </w:p>
    <w:p w:rsidR="00D23364" w:rsidRPr="002D70A4" w:rsidRDefault="007611D5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k vykázání musí proběhnout transakce, transakce musí být zasloužena</w:t>
      </w:r>
    </w:p>
    <w:p w:rsidR="00D2336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Plné zveřejnění </w:t>
      </w:r>
    </w:p>
    <w:p w:rsidR="00D23364" w:rsidRPr="002D70A4" w:rsidRDefault="007611D5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cena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informace nepřesahuje užitek</w:t>
      </w:r>
    </w:p>
    <w:p w:rsidR="00D23364" w:rsidRPr="002D70A4" w:rsidRDefault="007611D5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i – při oceňování zohlednit předpokládané zisky / ztráty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vykazuje se za celek</w:t>
      </w:r>
    </w:p>
    <w:p w:rsidR="00D2336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Předpoklad trvání podniku – pokračování v činnosti </w:t>
      </w:r>
    </w:p>
    <w:p w:rsidR="00D23364" w:rsidRPr="002D70A4" w:rsidRDefault="007611D5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vykázání transakcí kdy vznikly, bez ohledu na peněžní toky</w:t>
      </w:r>
    </w:p>
    <w:p w:rsidR="00D2336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Zásada periodicity – při zjišťování VH </w:t>
      </w:r>
    </w:p>
    <w:p w:rsidR="00D23364" w:rsidRPr="002D70A4" w:rsidRDefault="007611D5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stálost metod </w:t>
      </w:r>
    </w:p>
    <w:p w:rsidR="00D2336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Zásada objektivity informací – změny se zachytí, až když jsou objektivně zjištěny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Složení US GAAP v minulosti </w:t>
      </w:r>
    </w:p>
    <w:p w:rsidR="00D2336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Kategorie </w:t>
      </w:r>
      <w:r w:rsidR="007611D5">
        <w:rPr>
          <w:rFonts w:ascii="Times New Roman" w:hAnsi="Times New Roman" w:cs="Times New Roman"/>
          <w:sz w:val="24"/>
        </w:rPr>
        <w:t>…</w:t>
      </w:r>
      <w:r w:rsidRPr="002D70A4">
        <w:rPr>
          <w:rFonts w:ascii="Times New Roman" w:hAnsi="Times New Roman" w:cs="Times New Roman"/>
          <w:sz w:val="24"/>
        </w:rPr>
        <w:t xml:space="preserve"> – standardy </w:t>
      </w:r>
      <w:r w:rsidR="007611D5">
        <w:rPr>
          <w:rFonts w:ascii="Times New Roman" w:hAnsi="Times New Roman" w:cs="Times New Roman"/>
          <w:sz w:val="24"/>
        </w:rPr>
        <w:t>…………….</w:t>
      </w:r>
      <w:r w:rsidRPr="002D70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70A4">
        <w:rPr>
          <w:rFonts w:ascii="Times New Roman" w:hAnsi="Times New Roman" w:cs="Times New Roman"/>
          <w:sz w:val="24"/>
        </w:rPr>
        <w:t>interpretace</w:t>
      </w:r>
      <w:proofErr w:type="gramEnd"/>
      <w:r w:rsidRPr="002D70A4">
        <w:rPr>
          <w:rFonts w:ascii="Times New Roman" w:hAnsi="Times New Roman" w:cs="Times New Roman"/>
          <w:sz w:val="24"/>
        </w:rPr>
        <w:t xml:space="preserve"> FASB, prováděcí otázky, pozice zaměstnanců, účetní výzkumné bulletiny</w:t>
      </w:r>
    </w:p>
    <w:p w:rsidR="00D23364" w:rsidRPr="002D70A4" w:rsidRDefault="007611D5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technické bulletiny, auditorské a účetní směrnice</w:t>
      </w:r>
    </w:p>
    <w:p w:rsidR="00D2336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Kategorie C – praktické bulletiny, diskutované problémy</w:t>
      </w:r>
    </w:p>
    <w:p w:rsidR="00D23364" w:rsidRPr="002D70A4" w:rsidRDefault="007611D5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</w:t>
      </w:r>
      <w:r w:rsidR="002D70A4" w:rsidRPr="002D70A4">
        <w:rPr>
          <w:rFonts w:ascii="Times New Roman" w:hAnsi="Times New Roman" w:cs="Times New Roman"/>
          <w:sz w:val="24"/>
        </w:rPr>
        <w:t xml:space="preserve"> – účetní interpretace, prováděcí příručky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Současné složení </w:t>
      </w:r>
    </w:p>
    <w:p w:rsidR="00D23364" w:rsidRPr="002D70A4" w:rsidRDefault="002D70A4" w:rsidP="002D70A4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Dokumenty FASB</w:t>
      </w:r>
    </w:p>
    <w:p w:rsidR="00D23364" w:rsidRPr="002D70A4" w:rsidRDefault="002D70A4" w:rsidP="002D70A4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Prohlášení o koncepci finančního účetnictví (SFAC 1 – SFAC 8)</w:t>
      </w:r>
    </w:p>
    <w:p w:rsidR="00D23364" w:rsidRPr="002D70A4" w:rsidRDefault="007611D5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:rsidR="00D2336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Kvalitativní vlastnosti účetních informací </w:t>
      </w:r>
    </w:p>
    <w:p w:rsidR="00D23364" w:rsidRPr="002D70A4" w:rsidRDefault="007611D5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D2336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Cíle finančního výkaznictví nepodnikatelských jednotek</w:t>
      </w:r>
    </w:p>
    <w:p w:rsidR="00D23364" w:rsidRPr="002D70A4" w:rsidRDefault="007611D5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D2336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Použití informací o hotovostních tocích, současné hodnotě</w:t>
      </w:r>
    </w:p>
    <w:p w:rsidR="00D2336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Koncepční rámec pro finanční výkaznictví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Aplikace US GAAP</w:t>
      </w:r>
    </w:p>
    <w:p w:rsidR="00D23364" w:rsidRPr="002D70A4" w:rsidRDefault="007611D5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zpravidla nepoužívají</w:t>
      </w:r>
    </w:p>
    <w:p w:rsidR="00D23364" w:rsidRPr="002D70A4" w:rsidRDefault="007611D5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zde je již důvod pro použití US GAAP protože každý licencovaný auditor v USA může auditovat pouze podle US GAAP</w:t>
      </w:r>
    </w:p>
    <w:p w:rsidR="00D23364" w:rsidRPr="002D70A4" w:rsidRDefault="007611D5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chtějí své cenné papíry prodávat široké veřejnosti, musí používat US GAAP z toho důvodu, aby je americká komise pro CP pustila na burzu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Podniky, které jsou </w:t>
      </w:r>
      <w:r w:rsidR="007611D5">
        <w:rPr>
          <w:rFonts w:ascii="Times New Roman" w:hAnsi="Times New Roman" w:cs="Times New Roman"/>
          <w:sz w:val="24"/>
        </w:rPr>
        <w:t>……………………</w:t>
      </w:r>
      <w:r w:rsidRPr="002D70A4">
        <w:rPr>
          <w:rFonts w:ascii="Times New Roman" w:hAnsi="Times New Roman" w:cs="Times New Roman"/>
          <w:sz w:val="24"/>
        </w:rPr>
        <w:t xml:space="preserve"> a jsou emitentem cenných papírů na evropském regulovatelném trhu – účtují a sestavují účetní závěrku podle </w:t>
      </w:r>
      <w:r w:rsidRPr="002D70A4">
        <w:rPr>
          <w:rFonts w:ascii="Times New Roman" w:hAnsi="Times New Roman" w:cs="Times New Roman"/>
          <w:b/>
          <w:bCs/>
          <w:sz w:val="24"/>
        </w:rPr>
        <w:t xml:space="preserve">IFRS </w:t>
      </w:r>
      <w:r w:rsidRPr="002D70A4">
        <w:rPr>
          <w:rFonts w:ascii="Times New Roman" w:hAnsi="Times New Roman" w:cs="Times New Roman"/>
          <w:sz w:val="24"/>
        </w:rPr>
        <w:t xml:space="preserve"> (schválené právem EU)</w:t>
      </w:r>
    </w:p>
    <w:p w:rsidR="00D23364" w:rsidRPr="002D70A4" w:rsidRDefault="002D70A4" w:rsidP="002D70A4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Ostatní účtují a sestavují podle ČÚP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 GAAP, IFRS </w:t>
      </w:r>
    </w:p>
    <w:p w:rsidR="00D23364" w:rsidRPr="002D70A4" w:rsidRDefault="007611D5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</w:t>
      </w:r>
      <w:r w:rsidR="002D70A4" w:rsidRPr="002D70A4">
        <w:rPr>
          <w:rFonts w:ascii="Times New Roman" w:hAnsi="Times New Roman" w:cs="Times New Roman"/>
          <w:sz w:val="24"/>
        </w:rPr>
        <w:t xml:space="preserve"> – přijímány evropskými akciovými burzami, US GAAP americkými burzami </w:t>
      </w:r>
    </w:p>
    <w:p w:rsidR="00D23364" w:rsidRPr="002D70A4" w:rsidRDefault="007611D5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 j</w:t>
      </w:r>
      <w:r w:rsidR="002D70A4" w:rsidRPr="002D70A4">
        <w:rPr>
          <w:rFonts w:ascii="Times New Roman" w:hAnsi="Times New Roman" w:cs="Times New Roman"/>
          <w:sz w:val="24"/>
        </w:rPr>
        <w:t>sou méně detailní a méně popisné oproti US GAAP</w:t>
      </w:r>
    </w:p>
    <w:p w:rsidR="00D23364" w:rsidRPr="002D70A4" w:rsidRDefault="002D70A4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Zveřejnění informací dle US GAAP je širší než dle IFRS</w:t>
      </w:r>
    </w:p>
    <w:p w:rsidR="00D23364" w:rsidRPr="002D70A4" w:rsidRDefault="007611D5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zahájily v r. 2006 konvergenci IFRS a US GAAP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7611D5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D2336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Cílem je odstranit rozdíly mezi IFRS a US GAAP</w:t>
      </w:r>
    </w:p>
    <w:p w:rsidR="00D2336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Nové standardy vytvářet společně </w:t>
      </w:r>
    </w:p>
    <w:p w:rsidR="00D2336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Nejprve předpoklad vzniku společného </w:t>
      </w:r>
      <w:r w:rsidR="007611D5">
        <w:rPr>
          <w:rFonts w:ascii="Times New Roman" w:hAnsi="Times New Roman" w:cs="Times New Roman"/>
          <w:sz w:val="24"/>
        </w:rPr>
        <w:t>………………………………….</w:t>
      </w:r>
    </w:p>
    <w:p w:rsidR="00D2336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2007 – dohoda Americké komise pro cenné papíry a burzy o možnosti sestavit účetnictví závěrku dle IFRS</w:t>
      </w:r>
    </w:p>
    <w:p w:rsidR="00D2336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2012 projekt konvergence stagnuje, ukončen r. 2014 z důvodu nezájmu americké strany pokračovat dále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7611D5" w:rsidRDefault="007611D5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7611D5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……………………………………..</w:t>
      </w:r>
    </w:p>
    <w:p w:rsidR="00D2336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2002 v </w:t>
      </w:r>
      <w:proofErr w:type="spellStart"/>
      <w:r w:rsidRPr="002D70A4">
        <w:rPr>
          <w:rFonts w:ascii="Times New Roman" w:hAnsi="Times New Roman" w:cs="Times New Roman"/>
          <w:sz w:val="24"/>
        </w:rPr>
        <w:t>ZoÚ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uvedeno, že účetní jednotky mohou sestavit účetní závěrku dle IFRS</w:t>
      </w:r>
    </w:p>
    <w:p w:rsidR="00D23364" w:rsidRPr="002D70A4" w:rsidRDefault="007611D5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  <w:r w:rsidR="002D70A4" w:rsidRPr="002D70A4">
        <w:rPr>
          <w:rFonts w:ascii="Times New Roman" w:hAnsi="Times New Roman" w:cs="Times New Roman"/>
          <w:sz w:val="24"/>
        </w:rPr>
        <w:t xml:space="preserve"> – účetní jednotka má povinnost sestavit konsolidovanou ÚZ dle IFRS upravené EU pokud cenné papíry obchoduje na regulovaných trzích EU</w:t>
      </w:r>
    </w:p>
    <w:p w:rsidR="00D23364" w:rsidRPr="002D70A4" w:rsidRDefault="007611D5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2D70A4" w:rsidRPr="002D70A4">
        <w:rPr>
          <w:rFonts w:ascii="Times New Roman" w:hAnsi="Times New Roman" w:cs="Times New Roman"/>
          <w:sz w:val="24"/>
        </w:rPr>
        <w:t xml:space="preserve"> – rozšířen</w:t>
      </w:r>
      <w:proofErr w:type="gramEnd"/>
      <w:r w:rsidR="002D70A4" w:rsidRPr="002D70A4">
        <w:rPr>
          <w:rFonts w:ascii="Times New Roman" w:hAnsi="Times New Roman" w:cs="Times New Roman"/>
          <w:sz w:val="24"/>
        </w:rPr>
        <w:t xml:space="preserve"> okruh účetních jednotek, které mohou použít IFRS i na separátní účetní závěrku </w:t>
      </w:r>
    </w:p>
    <w:p w:rsidR="002D70A4" w:rsidRP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2D70A4" w:rsidP="002D70A4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2018 – možnost vykazovat finanční nástroje dle pravidel IFRS (vazba na IAS 17, IAS 19, IAS 27, IAS 28, IAS 32, IAS 39) 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D23364" w:rsidRPr="002D70A4" w:rsidRDefault="007611D5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D2336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Výsledek hospodaření dle IFRS nelze použít jako základ daně z příjmů </w:t>
      </w:r>
    </w:p>
    <w:p w:rsidR="00D2336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ČÚP považují za prvotní zdroj informací nekonsolidovanou účetní závěrku, IFRS konsolidovanou</w:t>
      </w:r>
    </w:p>
    <w:p w:rsidR="00D23364" w:rsidRPr="002D70A4" w:rsidRDefault="007611D5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</w:t>
      </w:r>
    </w:p>
    <w:p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:rsidR="002D70A4" w:rsidRP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sectPr w:rsidR="002D70A4" w:rsidRPr="002D70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A4" w:rsidRDefault="002D70A4" w:rsidP="002D70A4">
      <w:pPr>
        <w:spacing w:after="0" w:line="240" w:lineRule="auto"/>
      </w:pPr>
      <w:r>
        <w:separator/>
      </w:r>
    </w:p>
  </w:endnote>
  <w:endnote w:type="continuationSeparator" w:id="0">
    <w:p w:rsidR="002D70A4" w:rsidRDefault="002D70A4" w:rsidP="002D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A4" w:rsidRDefault="002D70A4" w:rsidP="002D70A4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Mezinárodní účetnictví                        1. </w:t>
    </w:r>
    <w:proofErr w:type="gramStart"/>
    <w:r>
      <w:rPr>
        <w:rFonts w:asciiTheme="majorHAnsi" w:hAnsiTheme="majorHAnsi"/>
      </w:rPr>
      <w:t>přednáška                    17</w:t>
    </w:r>
    <w:proofErr w:type="gramEnd"/>
    <w:r>
      <w:rPr>
        <w:rFonts w:asciiTheme="majorHAnsi" w:hAnsiTheme="majorHAnsi"/>
      </w:rPr>
      <w:t>. 2.2022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7611D5" w:rsidRPr="007611D5">
      <w:rPr>
        <w:rFonts w:asciiTheme="majorHAnsi" w:hAnsiTheme="majorHAnsi"/>
        <w:noProof/>
      </w:rPr>
      <w:t>9</w:t>
    </w:r>
    <w:r>
      <w:rPr>
        <w:rFonts w:asciiTheme="majorHAnsi" w:hAnsiTheme="majorHAnsi"/>
        <w:noProof/>
      </w:rPr>
      <w:fldChar w:fldCharType="end"/>
    </w:r>
  </w:p>
  <w:p w:rsidR="002D70A4" w:rsidRDefault="002D70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A4" w:rsidRDefault="002D70A4" w:rsidP="002D70A4">
      <w:pPr>
        <w:spacing w:after="0" w:line="240" w:lineRule="auto"/>
      </w:pPr>
      <w:r>
        <w:separator/>
      </w:r>
    </w:p>
  </w:footnote>
  <w:footnote w:type="continuationSeparator" w:id="0">
    <w:p w:rsidR="002D70A4" w:rsidRDefault="002D70A4" w:rsidP="002D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8A8"/>
    <w:multiLevelType w:val="hybridMultilevel"/>
    <w:tmpl w:val="D3BA26A6"/>
    <w:lvl w:ilvl="0" w:tplc="2780D0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C0F44">
      <w:start w:val="205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02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AF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72DA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AE8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086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3B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A14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3306C"/>
    <w:multiLevelType w:val="hybridMultilevel"/>
    <w:tmpl w:val="A2F2BF9E"/>
    <w:lvl w:ilvl="0" w:tplc="BE1A5E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62F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CC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A9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8BB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8B1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47E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00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6C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7650D"/>
    <w:multiLevelType w:val="hybridMultilevel"/>
    <w:tmpl w:val="C7C2DE48"/>
    <w:lvl w:ilvl="0" w:tplc="0C206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057C2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481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00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424B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71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0F1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4AA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A8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B2B4C"/>
    <w:multiLevelType w:val="hybridMultilevel"/>
    <w:tmpl w:val="63A424AE"/>
    <w:lvl w:ilvl="0" w:tplc="A08C92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A0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E6F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8EA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EDE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ABB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6CF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6C7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411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A7E90"/>
    <w:multiLevelType w:val="hybridMultilevel"/>
    <w:tmpl w:val="4C62B926"/>
    <w:lvl w:ilvl="0" w:tplc="6D62D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F2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058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436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87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AD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6AC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CA1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3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A4973"/>
    <w:multiLevelType w:val="hybridMultilevel"/>
    <w:tmpl w:val="0282B862"/>
    <w:lvl w:ilvl="0" w:tplc="3042DA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CC9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02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C5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CDB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3B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AF2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459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6ED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552D3D"/>
    <w:multiLevelType w:val="hybridMultilevel"/>
    <w:tmpl w:val="6E0AF8F8"/>
    <w:lvl w:ilvl="0" w:tplc="E774D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CE5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80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8C0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C59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CAB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004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C98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21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B116B"/>
    <w:multiLevelType w:val="hybridMultilevel"/>
    <w:tmpl w:val="CFEACE3C"/>
    <w:lvl w:ilvl="0" w:tplc="589CB1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897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88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2AF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863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CB6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C12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27B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0A63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BA4685"/>
    <w:multiLevelType w:val="hybridMultilevel"/>
    <w:tmpl w:val="402AF65A"/>
    <w:lvl w:ilvl="0" w:tplc="839A22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2B050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AB1F8">
      <w:start w:val="557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241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2DA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8A4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7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E3A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46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036A1"/>
    <w:multiLevelType w:val="hybridMultilevel"/>
    <w:tmpl w:val="1A1CF74E"/>
    <w:lvl w:ilvl="0" w:tplc="1714CD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E453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675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E59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2E8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E31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87A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A4E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4D7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B5E69"/>
    <w:multiLevelType w:val="hybridMultilevel"/>
    <w:tmpl w:val="7B969CB0"/>
    <w:lvl w:ilvl="0" w:tplc="780A99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273DC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895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C4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E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05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18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ED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C8A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0D6865"/>
    <w:multiLevelType w:val="hybridMultilevel"/>
    <w:tmpl w:val="57A6D4F8"/>
    <w:lvl w:ilvl="0" w:tplc="A43620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C19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236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E8F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4E1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E7E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C28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64D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E35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368A7"/>
    <w:multiLevelType w:val="hybridMultilevel"/>
    <w:tmpl w:val="4934E4E8"/>
    <w:lvl w:ilvl="0" w:tplc="47260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A6522">
      <w:start w:val="58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0B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BF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0E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88F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A7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883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6AA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52289"/>
    <w:multiLevelType w:val="hybridMultilevel"/>
    <w:tmpl w:val="5566BF9A"/>
    <w:lvl w:ilvl="0" w:tplc="0EEA9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4876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014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AA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477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E3F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0C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4A2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0D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EA5B9F"/>
    <w:multiLevelType w:val="hybridMultilevel"/>
    <w:tmpl w:val="7AD4A59C"/>
    <w:lvl w:ilvl="0" w:tplc="C85266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C3C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C8C3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602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EF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2BB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E18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03D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CD2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1B6EF9"/>
    <w:multiLevelType w:val="hybridMultilevel"/>
    <w:tmpl w:val="46AE13FE"/>
    <w:lvl w:ilvl="0" w:tplc="337431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C33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66F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279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4BD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A20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EC7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AA6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2D9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05E74"/>
    <w:multiLevelType w:val="hybridMultilevel"/>
    <w:tmpl w:val="AF3E9330"/>
    <w:lvl w:ilvl="0" w:tplc="3C8E80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0C2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087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C4E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4BC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24E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0C70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28F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F7C96"/>
    <w:multiLevelType w:val="hybridMultilevel"/>
    <w:tmpl w:val="C5284526"/>
    <w:lvl w:ilvl="0" w:tplc="343A0B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E7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C6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EB6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EF2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9ECE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A04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400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AE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C84044"/>
    <w:multiLevelType w:val="hybridMultilevel"/>
    <w:tmpl w:val="72300EFC"/>
    <w:lvl w:ilvl="0" w:tplc="5114F3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AC24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0E4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8FC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4AE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098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44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02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426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DE1D3F"/>
    <w:multiLevelType w:val="hybridMultilevel"/>
    <w:tmpl w:val="870C6504"/>
    <w:lvl w:ilvl="0" w:tplc="A10261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CD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6A4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643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1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80C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A8C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23D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66F0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210566"/>
    <w:multiLevelType w:val="hybridMultilevel"/>
    <w:tmpl w:val="97D08118"/>
    <w:lvl w:ilvl="0" w:tplc="EA3E06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C1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234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A56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28C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61F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67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6B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809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377570"/>
    <w:multiLevelType w:val="hybridMultilevel"/>
    <w:tmpl w:val="43825B14"/>
    <w:lvl w:ilvl="0" w:tplc="A0CAD8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C52A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0C7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60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86C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CB0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C58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64E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E4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E696E"/>
    <w:multiLevelType w:val="hybridMultilevel"/>
    <w:tmpl w:val="F38CDE14"/>
    <w:lvl w:ilvl="0" w:tplc="267261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28D6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A71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6C6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464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C5C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63E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A13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6E7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440E6E"/>
    <w:multiLevelType w:val="hybridMultilevel"/>
    <w:tmpl w:val="92CC0BA0"/>
    <w:lvl w:ilvl="0" w:tplc="735E72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440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E0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45B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874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ADB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8D1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CB1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EE7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F0184D"/>
    <w:multiLevelType w:val="hybridMultilevel"/>
    <w:tmpl w:val="EF0C42EE"/>
    <w:lvl w:ilvl="0" w:tplc="1D8A9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41D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93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452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FAFB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0C4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AF7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A81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32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B92B2D"/>
    <w:multiLevelType w:val="hybridMultilevel"/>
    <w:tmpl w:val="4F721984"/>
    <w:lvl w:ilvl="0" w:tplc="355C7D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2A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43E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28C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6AF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0FC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49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07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7CE9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85B9A"/>
    <w:multiLevelType w:val="hybridMultilevel"/>
    <w:tmpl w:val="D9D44150"/>
    <w:lvl w:ilvl="0" w:tplc="1DC6B1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65E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E83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214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472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3A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48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4E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81C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E26B24"/>
    <w:multiLevelType w:val="hybridMultilevel"/>
    <w:tmpl w:val="3BA80F5C"/>
    <w:lvl w:ilvl="0" w:tplc="88629A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2129E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AD6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EF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8B3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E09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4EA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6C41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4E0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A52967"/>
    <w:multiLevelType w:val="hybridMultilevel"/>
    <w:tmpl w:val="2D8EF6D2"/>
    <w:lvl w:ilvl="0" w:tplc="7B8E76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EAE4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A43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C38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C67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E06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04B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27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09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94272"/>
    <w:multiLevelType w:val="hybridMultilevel"/>
    <w:tmpl w:val="9E944476"/>
    <w:lvl w:ilvl="0" w:tplc="B770B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6BB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648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E4D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41C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CB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E1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C3C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43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3503AA"/>
    <w:multiLevelType w:val="hybridMultilevel"/>
    <w:tmpl w:val="96A6D5D0"/>
    <w:lvl w:ilvl="0" w:tplc="3A7024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4880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81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EB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EA8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C1D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C4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A32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6B0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5D017A"/>
    <w:multiLevelType w:val="hybridMultilevel"/>
    <w:tmpl w:val="88605180"/>
    <w:lvl w:ilvl="0" w:tplc="31CCE4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A90DE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4C4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A14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EC9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EE8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F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C4F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C8B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173EC"/>
    <w:multiLevelType w:val="hybridMultilevel"/>
    <w:tmpl w:val="05D2869E"/>
    <w:lvl w:ilvl="0" w:tplc="0082D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60B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2A4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8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0C4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892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24F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67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DA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CD7BD1"/>
    <w:multiLevelType w:val="hybridMultilevel"/>
    <w:tmpl w:val="C1E0668C"/>
    <w:lvl w:ilvl="0" w:tplc="62B2B3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C21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60B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99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C0B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0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6D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066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A1B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95529"/>
    <w:multiLevelType w:val="hybridMultilevel"/>
    <w:tmpl w:val="B7803454"/>
    <w:lvl w:ilvl="0" w:tplc="DC9875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E2FB0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55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A86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2F8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CBA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42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4F6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18D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BD0283"/>
    <w:multiLevelType w:val="hybridMultilevel"/>
    <w:tmpl w:val="FD44D738"/>
    <w:lvl w:ilvl="0" w:tplc="0FFC9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6539C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ABB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2AA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81A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E62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EFE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AE2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27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150CC9"/>
    <w:multiLevelType w:val="hybridMultilevel"/>
    <w:tmpl w:val="57F01ADC"/>
    <w:lvl w:ilvl="0" w:tplc="DF5A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2B5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803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8F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2600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018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0F4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E27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EE3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31"/>
  </w:num>
  <w:num w:numId="5">
    <w:abstractNumId w:val="17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22"/>
  </w:num>
  <w:num w:numId="11">
    <w:abstractNumId w:val="36"/>
  </w:num>
  <w:num w:numId="12">
    <w:abstractNumId w:val="23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3"/>
  </w:num>
  <w:num w:numId="18">
    <w:abstractNumId w:val="20"/>
  </w:num>
  <w:num w:numId="19">
    <w:abstractNumId w:val="11"/>
  </w:num>
  <w:num w:numId="20">
    <w:abstractNumId w:val="12"/>
  </w:num>
  <w:num w:numId="21">
    <w:abstractNumId w:val="28"/>
  </w:num>
  <w:num w:numId="22">
    <w:abstractNumId w:val="21"/>
  </w:num>
  <w:num w:numId="23">
    <w:abstractNumId w:val="27"/>
  </w:num>
  <w:num w:numId="24">
    <w:abstractNumId w:val="4"/>
  </w:num>
  <w:num w:numId="25">
    <w:abstractNumId w:val="35"/>
  </w:num>
  <w:num w:numId="26">
    <w:abstractNumId w:val="24"/>
  </w:num>
  <w:num w:numId="27">
    <w:abstractNumId w:val="29"/>
  </w:num>
  <w:num w:numId="28">
    <w:abstractNumId w:val="14"/>
  </w:num>
  <w:num w:numId="29">
    <w:abstractNumId w:val="15"/>
  </w:num>
  <w:num w:numId="30">
    <w:abstractNumId w:val="18"/>
  </w:num>
  <w:num w:numId="31">
    <w:abstractNumId w:val="16"/>
  </w:num>
  <w:num w:numId="32">
    <w:abstractNumId w:val="26"/>
  </w:num>
  <w:num w:numId="33">
    <w:abstractNumId w:val="32"/>
  </w:num>
  <w:num w:numId="34">
    <w:abstractNumId w:val="33"/>
  </w:num>
  <w:num w:numId="35">
    <w:abstractNumId w:val="19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0B"/>
    <w:rsid w:val="002D70A4"/>
    <w:rsid w:val="00543983"/>
    <w:rsid w:val="00746B0B"/>
    <w:rsid w:val="007611D5"/>
    <w:rsid w:val="00BD4F66"/>
    <w:rsid w:val="00CF0E6F"/>
    <w:rsid w:val="00D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0A4"/>
  </w:style>
  <w:style w:type="paragraph" w:styleId="Zpat">
    <w:name w:val="footer"/>
    <w:basedOn w:val="Normln"/>
    <w:link w:val="Zpat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0A4"/>
  </w:style>
  <w:style w:type="paragraph" w:styleId="Zpat">
    <w:name w:val="footer"/>
    <w:basedOn w:val="Normln"/>
    <w:link w:val="Zpat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7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1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2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3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2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0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2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3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0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0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5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2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3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5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5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5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4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4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5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7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9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6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3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3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8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2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2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1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6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7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1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9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8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0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5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6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1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4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9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6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7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90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5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C5B0-C74E-4677-84B5-E0454170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3</cp:revision>
  <dcterms:created xsi:type="dcterms:W3CDTF">2022-01-23T15:31:00Z</dcterms:created>
  <dcterms:modified xsi:type="dcterms:W3CDTF">2022-01-23T15:38:00Z</dcterms:modified>
</cp:coreProperties>
</file>