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Pr="002D70A4" w:rsidRDefault="002D70A4" w:rsidP="002D70A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2D70A4">
        <w:rPr>
          <w:rFonts w:ascii="Times New Roman" w:hAnsi="Times New Roman" w:cs="Times New Roman"/>
          <w:b/>
          <w:sz w:val="24"/>
          <w:u w:val="single"/>
        </w:rPr>
        <w:t xml:space="preserve">ÚVOD DO MEZINÁRODNÍHO ÚČETNICTVÍ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7611D5" w:rsidP="002D70A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……………….</w:t>
      </w:r>
      <w:r w:rsidR="002D70A4" w:rsidRPr="002D70A4">
        <w:rPr>
          <w:rFonts w:ascii="Times New Roman" w:hAnsi="Times New Roman" w:cs="Times New Roman"/>
          <w:sz w:val="24"/>
        </w:rPr>
        <w:t xml:space="preserve"> – stanovení pravidel pro účetnictví, účetní závěrku …  </w:t>
      </w:r>
    </w:p>
    <w:p w:rsidR="00D23364" w:rsidRPr="002D70A4" w:rsidRDefault="002D70A4" w:rsidP="002D70A4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Právním předpisem </w:t>
      </w:r>
    </w:p>
    <w:p w:rsidR="00D23364" w:rsidRPr="002D70A4" w:rsidRDefault="002D70A4" w:rsidP="002D70A4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Standardem </w:t>
      </w:r>
    </w:p>
    <w:p w:rsidR="00D23364" w:rsidRPr="002D70A4" w:rsidRDefault="002D70A4" w:rsidP="002D70A4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Kombinací právního předpisu a standardu </w:t>
      </w:r>
    </w:p>
    <w:p w:rsidR="00D23364" w:rsidRPr="002D70A4" w:rsidRDefault="007611D5" w:rsidP="002D70A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="002D70A4" w:rsidRPr="002D70A4">
        <w:rPr>
          <w:rFonts w:ascii="Times New Roman" w:hAnsi="Times New Roman" w:cs="Times New Roman"/>
          <w:sz w:val="24"/>
        </w:rPr>
        <w:t xml:space="preserve"> – odstraňování</w:t>
      </w:r>
      <w:proofErr w:type="gramEnd"/>
      <w:r w:rsidR="002D70A4" w:rsidRPr="002D70A4">
        <w:rPr>
          <w:rFonts w:ascii="Times New Roman" w:hAnsi="Times New Roman" w:cs="Times New Roman"/>
          <w:sz w:val="24"/>
        </w:rPr>
        <w:t xml:space="preserve"> rozdílů mezi jednotlivými způsoby regulace </w:t>
      </w:r>
    </w:p>
    <w:p w:rsidR="00D23364" w:rsidRPr="002D70A4" w:rsidRDefault="007611D5" w:rsidP="002D70A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="002D70A4" w:rsidRPr="002D70A4">
        <w:rPr>
          <w:rFonts w:ascii="Times New Roman" w:hAnsi="Times New Roman" w:cs="Times New Roman"/>
          <w:sz w:val="24"/>
        </w:rPr>
        <w:t xml:space="preserve"> – prohloubení</w:t>
      </w:r>
      <w:proofErr w:type="gramEnd"/>
      <w:r w:rsidR="002D70A4" w:rsidRPr="002D70A4">
        <w:rPr>
          <w:rFonts w:ascii="Times New Roman" w:hAnsi="Times New Roman" w:cs="Times New Roman"/>
          <w:sz w:val="24"/>
        </w:rPr>
        <w:t xml:space="preserve"> harmonizace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modely</w:t>
      </w:r>
    </w:p>
    <w:p w:rsidR="00D23364" w:rsidRPr="002D70A4" w:rsidRDefault="007611D5" w:rsidP="002D70A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……………………………….</w:t>
      </w:r>
    </w:p>
    <w:p w:rsidR="00D23364" w:rsidRPr="002D70A4" w:rsidRDefault="002D70A4" w:rsidP="002D70A4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typické pro země s velkým peněžním a kapitálovým trhem, </w:t>
      </w:r>
    </w:p>
    <w:p w:rsidR="00D23364" w:rsidRPr="002D70A4" w:rsidRDefault="002D70A4" w:rsidP="002D70A4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účetnictví je zaměřeno na externí uživatele,</w:t>
      </w:r>
    </w:p>
    <w:p w:rsidR="00D23364" w:rsidRPr="002D70A4" w:rsidRDefault="002D70A4" w:rsidP="002D70A4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 způsoby účtování jsou usměrňovány profesními organizacemi  </w:t>
      </w:r>
    </w:p>
    <w:p w:rsidR="00D23364" w:rsidRPr="002D70A4" w:rsidRDefault="002D70A4" w:rsidP="002D70A4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Velká Británie, USA, Nizozemsko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7611D5" w:rsidP="002D70A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……………………………………….</w:t>
      </w:r>
    </w:p>
    <w:p w:rsidR="00D23364" w:rsidRPr="002D70A4" w:rsidRDefault="002D70A4" w:rsidP="002D70A4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Úzká vazba mezi účetním a daňovým systémem </w:t>
      </w:r>
    </w:p>
    <w:p w:rsidR="00D23364" w:rsidRPr="002D70A4" w:rsidRDefault="002D70A4" w:rsidP="002D70A4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Účetnictví je regulováno právními normami </w:t>
      </w:r>
    </w:p>
    <w:p w:rsidR="00D23364" w:rsidRDefault="002D70A4" w:rsidP="002D70A4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Evropa, Japonsko, Francouzsky mluvící africké země </w:t>
      </w:r>
    </w:p>
    <w:p w:rsidR="002D70A4" w:rsidRPr="002D70A4" w:rsidRDefault="002D70A4" w:rsidP="002D70A4">
      <w:pPr>
        <w:spacing w:after="0"/>
        <w:ind w:left="1440"/>
        <w:rPr>
          <w:rFonts w:ascii="Times New Roman" w:hAnsi="Times New Roman" w:cs="Times New Roman"/>
          <w:sz w:val="24"/>
        </w:rPr>
      </w:pPr>
    </w:p>
    <w:p w:rsidR="00D23364" w:rsidRPr="002D70A4" w:rsidRDefault="007611D5" w:rsidP="002D70A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……………………………………</w:t>
      </w:r>
    </w:p>
    <w:p w:rsidR="00D23364" w:rsidRPr="002D70A4" w:rsidRDefault="002D70A4" w:rsidP="002D70A4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Inflační účetnictví </w:t>
      </w:r>
    </w:p>
    <w:p w:rsidR="00D23364" w:rsidRDefault="002D70A4" w:rsidP="002D70A4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Účetnictví je zaměřeno na potřeby vlády a daňových orgánů </w:t>
      </w:r>
    </w:p>
    <w:p w:rsidR="002D70A4" w:rsidRPr="002D70A4" w:rsidRDefault="002D70A4" w:rsidP="002D70A4">
      <w:pPr>
        <w:spacing w:after="0"/>
        <w:ind w:left="1440"/>
        <w:rPr>
          <w:rFonts w:ascii="Times New Roman" w:hAnsi="Times New Roman" w:cs="Times New Roman"/>
          <w:sz w:val="24"/>
        </w:rPr>
      </w:pPr>
    </w:p>
    <w:p w:rsidR="00D23364" w:rsidRPr="002D70A4" w:rsidRDefault="007611D5" w:rsidP="002D70A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……………………………………….</w:t>
      </w:r>
    </w:p>
    <w:p w:rsidR="00D23364" w:rsidRPr="002D70A4" w:rsidRDefault="002D70A4" w:rsidP="002D70A4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Zohledňuje přechod od centrálně řízené ekonomice k tržní </w:t>
      </w:r>
    </w:p>
    <w:p w:rsidR="00D23364" w:rsidRPr="002D70A4" w:rsidRDefault="002D70A4" w:rsidP="002D70A4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 zemích bývalého Sovětského svazu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Pr="002D70A4" w:rsidRDefault="002D70A4" w:rsidP="002D70A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2D70A4">
        <w:rPr>
          <w:rFonts w:ascii="Times New Roman" w:hAnsi="Times New Roman" w:cs="Times New Roman"/>
          <w:b/>
          <w:sz w:val="24"/>
          <w:u w:val="single"/>
        </w:rPr>
        <w:t>Harmonizace v EU</w:t>
      </w:r>
    </w:p>
    <w:p w:rsidR="00D23364" w:rsidRPr="002D70A4" w:rsidRDefault="002D70A4" w:rsidP="002D70A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Převážně pomocí „direktiv“</w:t>
      </w:r>
    </w:p>
    <w:p w:rsidR="00D23364" w:rsidRPr="002D70A4" w:rsidRDefault="002D70A4" w:rsidP="002D70A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Vydávány v letech 1968 – 1989</w:t>
      </w:r>
    </w:p>
    <w:p w:rsidR="00D23364" w:rsidRPr="002D70A4" w:rsidRDefault="002D70A4" w:rsidP="002D70A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Nejsou uznávány světovými burzami</w:t>
      </w:r>
    </w:p>
    <w:p w:rsidR="00D23364" w:rsidRPr="002D70A4" w:rsidRDefault="002D70A4" w:rsidP="002D70A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Od roku 2000 harmonizační strategie „cesta vpřed“ – orientace na IAS/IFRS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7611D5" w:rsidP="002D70A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</w:t>
      </w:r>
      <w:r w:rsidR="002D70A4" w:rsidRPr="002D70A4">
        <w:rPr>
          <w:rFonts w:ascii="Times New Roman" w:hAnsi="Times New Roman" w:cs="Times New Roman"/>
          <w:b/>
          <w:bCs/>
          <w:sz w:val="24"/>
        </w:rPr>
        <w:t xml:space="preserve"> (78/660/EHS), o ročních účetních závěrkách </w:t>
      </w:r>
    </w:p>
    <w:p w:rsidR="00D23364" w:rsidRPr="002D70A4" w:rsidRDefault="002D70A4" w:rsidP="002D70A4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Upravuje obsah a požadavky účetní závěrky středních a velkých účetních jednotek</w:t>
      </w:r>
    </w:p>
    <w:p w:rsidR="00D23364" w:rsidRPr="002D70A4" w:rsidRDefault="002D70A4" w:rsidP="002D70A4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Stanovení závazných vzorů rozvahy a výsledovky (</w:t>
      </w:r>
      <w:r w:rsidR="007611D5">
        <w:rPr>
          <w:rFonts w:ascii="Times New Roman" w:hAnsi="Times New Roman" w:cs="Times New Roman"/>
          <w:sz w:val="24"/>
        </w:rPr>
        <w:t>….</w:t>
      </w:r>
      <w:r w:rsidRPr="002D70A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D70A4">
        <w:rPr>
          <w:rFonts w:ascii="Times New Roman" w:hAnsi="Times New Roman" w:cs="Times New Roman"/>
          <w:sz w:val="24"/>
        </w:rPr>
        <w:t>vzory</w:t>
      </w:r>
      <w:proofErr w:type="gramEnd"/>
      <w:r w:rsidRPr="002D70A4">
        <w:rPr>
          <w:rFonts w:ascii="Times New Roman" w:hAnsi="Times New Roman" w:cs="Times New Roman"/>
          <w:sz w:val="24"/>
        </w:rPr>
        <w:t xml:space="preserve"> rozvahy – horizontální, vertikální, </w:t>
      </w:r>
      <w:r w:rsidR="007611D5">
        <w:rPr>
          <w:rFonts w:ascii="Times New Roman" w:hAnsi="Times New Roman" w:cs="Times New Roman"/>
          <w:sz w:val="24"/>
        </w:rPr>
        <w:t>….</w:t>
      </w:r>
      <w:r w:rsidRPr="002D70A4">
        <w:rPr>
          <w:rFonts w:ascii="Times New Roman" w:hAnsi="Times New Roman" w:cs="Times New Roman"/>
          <w:sz w:val="24"/>
        </w:rPr>
        <w:t xml:space="preserve"> vzory výsledovky)</w:t>
      </w:r>
    </w:p>
    <w:p w:rsidR="00D23364" w:rsidRDefault="002D70A4" w:rsidP="002D70A4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účetní závěrka je sestavena z rozvahy, výsledovky a přílohy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Pr="002D70A4" w:rsidRDefault="007611D5" w:rsidP="002D70A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2D70A4" w:rsidRPr="002D70A4">
        <w:rPr>
          <w:rFonts w:ascii="Times New Roman" w:hAnsi="Times New Roman" w:cs="Times New Roman"/>
          <w:sz w:val="24"/>
        </w:rPr>
        <w:t xml:space="preserve"> (aktiv</w:t>
      </w:r>
      <w:proofErr w:type="gramEnd"/>
      <w:r w:rsidR="002D70A4" w:rsidRPr="002D70A4">
        <w:rPr>
          <w:rFonts w:ascii="Times New Roman" w:hAnsi="Times New Roman" w:cs="Times New Roman"/>
          <w:sz w:val="24"/>
        </w:rPr>
        <w:t xml:space="preserve"> a pasiv, nákladů a výnosů)</w:t>
      </w:r>
    </w:p>
    <w:p w:rsidR="00D23364" w:rsidRPr="002D70A4" w:rsidRDefault="002D70A4" w:rsidP="002D70A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přechodné položky nutno vykázat v samostatné položce aktiv nebo pasiv dává členským státům x možnost vykazovat příjmy příštích období v položce pohledávky a výnosy příštích období v položce závazky </w:t>
      </w:r>
    </w:p>
    <w:p w:rsidR="00D23364" w:rsidRPr="002D70A4" w:rsidRDefault="002D70A4" w:rsidP="002D70A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Uvedené neplatí pro náklady a výnosy příštích období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7611D5" w:rsidP="002D70A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………………………………….</w:t>
      </w:r>
      <w:r w:rsidR="002D70A4" w:rsidRPr="002D70A4">
        <w:rPr>
          <w:rFonts w:ascii="Times New Roman" w:hAnsi="Times New Roman" w:cs="Times New Roman"/>
          <w:b/>
          <w:bCs/>
          <w:sz w:val="24"/>
        </w:rPr>
        <w:t xml:space="preserve"> (83/349/EHS), o konsolidovaných účetních závěrkách</w:t>
      </w:r>
    </w:p>
    <w:p w:rsidR="00D23364" w:rsidRPr="002D70A4" w:rsidRDefault="002D70A4" w:rsidP="002D70A4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Upravuje pravidla pro sestavení konsolidovaných účetních závěrek a výročních zpráv</w:t>
      </w:r>
    </w:p>
    <w:p w:rsidR="00D23364" w:rsidRPr="002D70A4" w:rsidRDefault="002D70A4" w:rsidP="002D70A4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Podmínky pro sestavení účetní závěrky </w:t>
      </w:r>
    </w:p>
    <w:p w:rsidR="00D23364" w:rsidRPr="002D70A4" w:rsidRDefault="002D70A4" w:rsidP="002D70A4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Metody konsolidace</w:t>
      </w:r>
    </w:p>
    <w:p w:rsidR="00D23364" w:rsidRPr="002D70A4" w:rsidRDefault="002D70A4" w:rsidP="002D70A4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Konsolidovaná výroční zpráva</w:t>
      </w:r>
    </w:p>
    <w:p w:rsidR="00D23364" w:rsidRPr="002D70A4" w:rsidRDefault="007611D5" w:rsidP="002D70A4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………………………………………………………….</w:t>
      </w:r>
    </w:p>
    <w:p w:rsidR="00D23364" w:rsidRPr="002D70A4" w:rsidRDefault="002D70A4" w:rsidP="002D70A4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Zveřejnění účetní závěrky</w:t>
      </w:r>
    </w:p>
    <w:p w:rsidR="00D23364" w:rsidRPr="002D70A4" w:rsidRDefault="002D70A4" w:rsidP="002D70A4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Přechodná a závěrečná ustanovení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2D70A4" w:rsidP="002D70A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Od roku 1995 „</w:t>
      </w:r>
      <w:r w:rsidR="007611D5">
        <w:rPr>
          <w:rFonts w:ascii="Times New Roman" w:hAnsi="Times New Roman" w:cs="Times New Roman"/>
          <w:sz w:val="24"/>
        </w:rPr>
        <w:t>……………………………………………………</w:t>
      </w:r>
      <w:r w:rsidRPr="002D70A4">
        <w:rPr>
          <w:rFonts w:ascii="Times New Roman" w:hAnsi="Times New Roman" w:cs="Times New Roman"/>
          <w:sz w:val="24"/>
        </w:rPr>
        <w:t xml:space="preserve">“ </w:t>
      </w:r>
    </w:p>
    <w:p w:rsidR="00D23364" w:rsidRPr="002D70A4" w:rsidRDefault="002D70A4" w:rsidP="002D70A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Od roku 2000 harmonizační strategie „</w:t>
      </w:r>
      <w:r w:rsidR="007611D5">
        <w:rPr>
          <w:rFonts w:ascii="Times New Roman" w:hAnsi="Times New Roman" w:cs="Times New Roman"/>
          <w:sz w:val="24"/>
        </w:rPr>
        <w:t>…………………</w:t>
      </w:r>
      <w:r w:rsidRPr="002D70A4">
        <w:rPr>
          <w:rFonts w:ascii="Times New Roman" w:hAnsi="Times New Roman" w:cs="Times New Roman"/>
          <w:sz w:val="24"/>
        </w:rPr>
        <w:t>“ – orientace na IAS/IFRS – povinnost sestavit účetní závěrku v souladu s IAS/IFRS nejpozději od roku 2005 – vydáno formou nařízení (nikoliv směrnice)</w:t>
      </w:r>
    </w:p>
    <w:p w:rsidR="00D23364" w:rsidRPr="002D70A4" w:rsidRDefault="002D70A4" w:rsidP="002D70A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Implementace v ČR: účetní jednotky, které jsou obchodní společností a jsou emitentem cenných papírů registrovaných na regulovaném trhu cenných papírů v členských státech EU, musí účtovat a sestavovat účetních závěrku v souladu s IAS/IFRS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2D70A4" w:rsidP="002D70A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Směrnice </w:t>
      </w:r>
      <w:r w:rsidR="007611D5">
        <w:rPr>
          <w:rFonts w:ascii="Times New Roman" w:hAnsi="Times New Roman" w:cs="Times New Roman"/>
          <w:b/>
          <w:bCs/>
          <w:sz w:val="24"/>
        </w:rPr>
        <w:t>…………….</w:t>
      </w:r>
      <w:r w:rsidRPr="002D70A4">
        <w:rPr>
          <w:rFonts w:ascii="Times New Roman" w:hAnsi="Times New Roman" w:cs="Times New Roman"/>
          <w:sz w:val="24"/>
        </w:rPr>
        <w:t xml:space="preserve"> Evropského parlamentu a Rady o ročních účetních závěrkách, konsolidovaných účetních závěrkách a souvisejících zprávách některých forem podniků, o změně směrnice Evropského parlamentu a Rady 2006/43/ES a o zrušení směrnic Rady 78/660/EHS a 83/349/EHS. </w:t>
      </w:r>
    </w:p>
    <w:p w:rsidR="00D23364" w:rsidRPr="002D70A4" w:rsidRDefault="002D70A4" w:rsidP="002D70A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Členské státy EU jsou povinny mít právní předpisy v souladu s touto směrnicí do 20. května 2015</w:t>
      </w:r>
    </w:p>
    <w:p w:rsidR="00D23364" w:rsidRPr="002D70A4" w:rsidRDefault="002D70A4" w:rsidP="002D70A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Definice </w:t>
      </w:r>
      <w:r w:rsidR="007611D5">
        <w:rPr>
          <w:rFonts w:ascii="Times New Roman" w:hAnsi="Times New Roman" w:cs="Times New Roman"/>
          <w:sz w:val="24"/>
        </w:rPr>
        <w:t>……………………</w:t>
      </w:r>
      <w:r w:rsidRPr="002D70A4">
        <w:rPr>
          <w:rFonts w:ascii="Times New Roman" w:hAnsi="Times New Roman" w:cs="Times New Roman"/>
          <w:sz w:val="24"/>
        </w:rPr>
        <w:t>, malého podniku, středního podniku, velkého podniku</w:t>
      </w:r>
    </w:p>
    <w:p w:rsidR="00D23364" w:rsidRPr="002D70A4" w:rsidRDefault="002D70A4" w:rsidP="002D70A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2D70A4">
        <w:rPr>
          <w:rFonts w:ascii="Times New Roman" w:hAnsi="Times New Roman" w:cs="Times New Roman"/>
          <w:sz w:val="24"/>
        </w:rPr>
        <w:t>Mikropodnik</w:t>
      </w:r>
      <w:proofErr w:type="spellEnd"/>
      <w:r w:rsidRPr="002D70A4">
        <w:rPr>
          <w:rFonts w:ascii="Times New Roman" w:hAnsi="Times New Roman" w:cs="Times New Roman"/>
          <w:sz w:val="24"/>
        </w:rPr>
        <w:t xml:space="preserve"> – nepřekročí 2 z uvedených: bilanční suma 9 mil Kč, obrat 18 mil. Kč, počet zaměstnanců 10</w:t>
      </w:r>
    </w:p>
    <w:p w:rsidR="00D23364" w:rsidRPr="002D70A4" w:rsidRDefault="007611D5" w:rsidP="002D70A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</w:t>
      </w:r>
      <w:r w:rsidR="002D70A4" w:rsidRPr="002D70A4">
        <w:rPr>
          <w:rFonts w:ascii="Times New Roman" w:hAnsi="Times New Roman" w:cs="Times New Roman"/>
          <w:sz w:val="24"/>
        </w:rPr>
        <w:t xml:space="preserve"> – nepřekročí 2 z uvedených: bilanční suma 100 mil. Kč, obrat 200 mil. Kč, počet zaměstnanců </w:t>
      </w:r>
      <w:r>
        <w:rPr>
          <w:rFonts w:ascii="Times New Roman" w:hAnsi="Times New Roman" w:cs="Times New Roman"/>
          <w:sz w:val="24"/>
        </w:rPr>
        <w:t>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:rsidR="00D23364" w:rsidRPr="002D70A4" w:rsidRDefault="002D70A4" w:rsidP="002D70A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Střední podnik – nepřekročí 2 z uvedených: bilanční suma 500 mil. Kč, obrat 1 000 mil. Kč, počet zaměstnanců </w:t>
      </w:r>
      <w:r w:rsidR="007611D5">
        <w:rPr>
          <w:rFonts w:ascii="Times New Roman" w:hAnsi="Times New Roman" w:cs="Times New Roman"/>
          <w:sz w:val="24"/>
        </w:rPr>
        <w:t>…………….</w:t>
      </w:r>
      <w:bookmarkStart w:id="0" w:name="_GoBack"/>
      <w:bookmarkEnd w:id="0"/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2D70A4" w:rsidP="002D70A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Velký podnik – překročí </w:t>
      </w:r>
      <w:r w:rsidR="007611D5">
        <w:rPr>
          <w:rFonts w:ascii="Times New Roman" w:hAnsi="Times New Roman" w:cs="Times New Roman"/>
          <w:sz w:val="24"/>
        </w:rPr>
        <w:t>…</w:t>
      </w:r>
      <w:proofErr w:type="gramStart"/>
      <w:r w:rsidR="007611D5">
        <w:rPr>
          <w:rFonts w:ascii="Times New Roman" w:hAnsi="Times New Roman" w:cs="Times New Roman"/>
          <w:sz w:val="24"/>
        </w:rPr>
        <w:t>…..</w:t>
      </w:r>
      <w:r w:rsidRPr="002D70A4">
        <w:rPr>
          <w:rFonts w:ascii="Times New Roman" w:hAnsi="Times New Roman" w:cs="Times New Roman"/>
          <w:sz w:val="24"/>
        </w:rPr>
        <w:t xml:space="preserve"> z uvedených</w:t>
      </w:r>
      <w:proofErr w:type="gramEnd"/>
      <w:r w:rsidRPr="002D70A4">
        <w:rPr>
          <w:rFonts w:ascii="Times New Roman" w:hAnsi="Times New Roman" w:cs="Times New Roman"/>
          <w:sz w:val="24"/>
        </w:rPr>
        <w:t xml:space="preserve"> pro střední podnik </w:t>
      </w:r>
    </w:p>
    <w:p w:rsidR="00D23364" w:rsidRPr="002D70A4" w:rsidRDefault="002D70A4" w:rsidP="002D70A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Vymezení subjektů veřejného zájmu</w:t>
      </w:r>
    </w:p>
    <w:p w:rsidR="00D23364" w:rsidRPr="002D70A4" w:rsidRDefault="002D70A4" w:rsidP="002D70A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Možnost osvobození </w:t>
      </w:r>
      <w:proofErr w:type="spellStart"/>
      <w:r w:rsidRPr="002D70A4">
        <w:rPr>
          <w:rFonts w:ascii="Times New Roman" w:hAnsi="Times New Roman" w:cs="Times New Roman"/>
          <w:sz w:val="24"/>
        </w:rPr>
        <w:t>mikropodniků</w:t>
      </w:r>
      <w:proofErr w:type="spellEnd"/>
      <w:r w:rsidRPr="002D70A4">
        <w:rPr>
          <w:rFonts w:ascii="Times New Roman" w:hAnsi="Times New Roman" w:cs="Times New Roman"/>
          <w:sz w:val="24"/>
        </w:rPr>
        <w:t xml:space="preserve"> od zveřejňování účetní závěrky</w:t>
      </w:r>
    </w:p>
    <w:p w:rsidR="00D23364" w:rsidRPr="002D70A4" w:rsidRDefault="002D70A4" w:rsidP="002D70A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Výkaz o finanční pozici – malý podnik, střední podnik – zkrácená rozvaha</w:t>
      </w:r>
    </w:p>
    <w:p w:rsidR="00D23364" w:rsidRPr="002D70A4" w:rsidRDefault="007611D5" w:rsidP="002D70A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</w:t>
      </w:r>
      <w:r w:rsidR="002D70A4" w:rsidRPr="002D70A4">
        <w:rPr>
          <w:rFonts w:ascii="Times New Roman" w:hAnsi="Times New Roman" w:cs="Times New Roman"/>
          <w:sz w:val="24"/>
        </w:rPr>
        <w:t xml:space="preserve"> – malý podnik, střední podnik – zkrácený výkaz, malý podnik nemusí zveřejnit </w:t>
      </w:r>
    </w:p>
    <w:p w:rsidR="00D23364" w:rsidRPr="002D70A4" w:rsidRDefault="007611D5" w:rsidP="002D70A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2D70A4" w:rsidRPr="002D70A4">
        <w:rPr>
          <w:rFonts w:ascii="Times New Roman" w:hAnsi="Times New Roman" w:cs="Times New Roman"/>
          <w:sz w:val="24"/>
        </w:rPr>
        <w:t xml:space="preserve"> – nemusí</w:t>
      </w:r>
      <w:proofErr w:type="gramEnd"/>
      <w:r w:rsidR="002D70A4" w:rsidRPr="002D70A4">
        <w:rPr>
          <w:rFonts w:ascii="Times New Roman" w:hAnsi="Times New Roman" w:cs="Times New Roman"/>
          <w:sz w:val="24"/>
        </w:rPr>
        <w:t xml:space="preserve"> vypracovávat </w:t>
      </w:r>
      <w:proofErr w:type="spellStart"/>
      <w:r w:rsidR="002D70A4" w:rsidRPr="002D70A4">
        <w:rPr>
          <w:rFonts w:ascii="Times New Roman" w:hAnsi="Times New Roman" w:cs="Times New Roman"/>
          <w:sz w:val="24"/>
        </w:rPr>
        <w:t>mikropodnik</w:t>
      </w:r>
      <w:proofErr w:type="spellEnd"/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7611D5" w:rsidRDefault="007611D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2D70A4" w:rsidRDefault="002D70A4" w:rsidP="002D70A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2D70A4">
        <w:rPr>
          <w:rFonts w:ascii="Times New Roman" w:hAnsi="Times New Roman" w:cs="Times New Roman"/>
          <w:b/>
          <w:sz w:val="24"/>
          <w:u w:val="single"/>
        </w:rPr>
        <w:lastRenderedPageBreak/>
        <w:t>IFRS</w:t>
      </w:r>
    </w:p>
    <w:p w:rsidR="007611D5" w:rsidRPr="002D70A4" w:rsidRDefault="007611D5" w:rsidP="002D70A4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D23364" w:rsidRPr="002D70A4" w:rsidRDefault="002D70A4" w:rsidP="002D70A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2D70A4">
        <w:rPr>
          <w:rFonts w:ascii="Times New Roman" w:hAnsi="Times New Roman" w:cs="Times New Roman"/>
          <w:sz w:val="24"/>
        </w:rPr>
        <w:t xml:space="preserve">Vysoce </w:t>
      </w:r>
      <w:r w:rsidR="007611D5">
        <w:rPr>
          <w:rFonts w:ascii="Times New Roman" w:hAnsi="Times New Roman" w:cs="Times New Roman"/>
          <w:sz w:val="24"/>
        </w:rPr>
        <w:t>,…</w:t>
      </w:r>
      <w:proofErr w:type="gramEnd"/>
      <w:r w:rsidR="007611D5">
        <w:rPr>
          <w:rFonts w:ascii="Times New Roman" w:hAnsi="Times New Roman" w:cs="Times New Roman"/>
          <w:sz w:val="24"/>
        </w:rPr>
        <w:t>………………………………</w:t>
      </w:r>
    </w:p>
    <w:p w:rsidR="00D23364" w:rsidRPr="002D70A4" w:rsidRDefault="002D70A4" w:rsidP="002D70A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Mají mnohaletou tradici</w:t>
      </w:r>
    </w:p>
    <w:p w:rsidR="00D23364" w:rsidRPr="002D70A4" w:rsidRDefault="002D70A4" w:rsidP="002D70A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Soubor IFRS zahrnuje:</w:t>
      </w:r>
    </w:p>
    <w:p w:rsidR="00D23364" w:rsidRPr="002D70A4" w:rsidRDefault="002D70A4" w:rsidP="002D70A4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Úvod a předmluvu</w:t>
      </w:r>
    </w:p>
    <w:p w:rsidR="00D23364" w:rsidRPr="002D70A4" w:rsidRDefault="007611D5" w:rsidP="002D70A4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……………………………..</w:t>
      </w:r>
    </w:p>
    <w:p w:rsidR="00D23364" w:rsidRPr="002D70A4" w:rsidRDefault="002D70A4" w:rsidP="002D70A4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Účetní standardy </w:t>
      </w:r>
      <w:r w:rsidR="007611D5">
        <w:rPr>
          <w:rFonts w:ascii="Times New Roman" w:hAnsi="Times New Roman" w:cs="Times New Roman"/>
          <w:sz w:val="24"/>
        </w:rPr>
        <w:t>…………………………….</w:t>
      </w:r>
    </w:p>
    <w:p w:rsidR="00D23364" w:rsidRPr="002D70A4" w:rsidRDefault="002D70A4" w:rsidP="002D70A4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Interpretace </w:t>
      </w:r>
      <w:r w:rsidR="007611D5">
        <w:rPr>
          <w:rFonts w:ascii="Times New Roman" w:hAnsi="Times New Roman" w:cs="Times New Roman"/>
          <w:sz w:val="24"/>
        </w:rPr>
        <w:t>…………………</w:t>
      </w:r>
      <w:proofErr w:type="gramStart"/>
      <w:r w:rsidR="007611D5">
        <w:rPr>
          <w:rFonts w:ascii="Times New Roman" w:hAnsi="Times New Roman" w:cs="Times New Roman"/>
          <w:sz w:val="24"/>
        </w:rPr>
        <w:t>…..</w:t>
      </w:r>
      <w:proofErr w:type="gramEnd"/>
    </w:p>
    <w:p w:rsidR="00D23364" w:rsidRPr="002D70A4" w:rsidRDefault="002D70A4" w:rsidP="002D70A4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Smyslem je prosazení jednotné formy při sestavování a prezentaci účetních výkazů, než striktní stanovení účtování =&gt; cílem je harmonizovat </w:t>
      </w:r>
      <w:r w:rsidRPr="002D70A4">
        <w:rPr>
          <w:rFonts w:ascii="Times New Roman" w:hAnsi="Times New Roman" w:cs="Times New Roman"/>
          <w:b/>
          <w:bCs/>
          <w:sz w:val="24"/>
        </w:rPr>
        <w:t>výkaznictv</w:t>
      </w:r>
      <w:r w:rsidRPr="002D70A4">
        <w:rPr>
          <w:rFonts w:ascii="Times New Roman" w:hAnsi="Times New Roman" w:cs="Times New Roman"/>
          <w:sz w:val="24"/>
        </w:rPr>
        <w:t xml:space="preserve">í, nikoliv účtování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2D70A4" w:rsidP="002D70A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IAS – </w:t>
      </w:r>
      <w:r w:rsidR="007611D5">
        <w:rPr>
          <w:rFonts w:ascii="Times New Roman" w:hAnsi="Times New Roman" w:cs="Times New Roman"/>
          <w:sz w:val="24"/>
        </w:rPr>
        <w:t>………………………………………</w:t>
      </w:r>
    </w:p>
    <w:p w:rsidR="00D23364" w:rsidRPr="002D70A4" w:rsidRDefault="007611D5" w:rsidP="002D70A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2D70A4" w:rsidRPr="002D70A4">
        <w:rPr>
          <w:rFonts w:ascii="Times New Roman" w:hAnsi="Times New Roman" w:cs="Times New Roman"/>
          <w:sz w:val="24"/>
        </w:rPr>
        <w:t xml:space="preserve"> – Výbor</w:t>
      </w:r>
      <w:proofErr w:type="gramEnd"/>
      <w:r w:rsidR="002D70A4" w:rsidRPr="002D70A4">
        <w:rPr>
          <w:rFonts w:ascii="Times New Roman" w:hAnsi="Times New Roman" w:cs="Times New Roman"/>
          <w:sz w:val="24"/>
        </w:rPr>
        <w:t xml:space="preserve"> pro mezinárodní účetní standardy</w:t>
      </w:r>
    </w:p>
    <w:p w:rsidR="00D23364" w:rsidRPr="002D70A4" w:rsidRDefault="002D70A4" w:rsidP="002D70A4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Nezávislá profesní organizace na základě dohody profesních účetních institucí </w:t>
      </w:r>
    </w:p>
    <w:p w:rsidR="00D23364" w:rsidRPr="002D70A4" w:rsidRDefault="002D70A4" w:rsidP="002D70A4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Vydává IAS </w:t>
      </w:r>
    </w:p>
    <w:p w:rsidR="00D23364" w:rsidRPr="002D70A4" w:rsidRDefault="007611D5" w:rsidP="002D70A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…….</w:t>
      </w:r>
      <w:r w:rsidR="002D70A4" w:rsidRPr="002D70A4">
        <w:rPr>
          <w:rFonts w:ascii="Times New Roman" w:hAnsi="Times New Roman" w:cs="Times New Roman"/>
          <w:sz w:val="24"/>
        </w:rPr>
        <w:t xml:space="preserve"> – Stálý interpretační výbor </w:t>
      </w:r>
    </w:p>
    <w:p w:rsidR="00D23364" w:rsidRPr="002D70A4" w:rsidRDefault="002D70A4" w:rsidP="002D70A4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Vydává interpretace SIC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2D70A4" w:rsidP="002D70A4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IFRS – </w:t>
      </w:r>
      <w:r w:rsidR="007611D5">
        <w:rPr>
          <w:rFonts w:ascii="Times New Roman" w:hAnsi="Times New Roman" w:cs="Times New Roman"/>
          <w:sz w:val="24"/>
        </w:rPr>
        <w:t>…………………………………</w:t>
      </w:r>
    </w:p>
    <w:p w:rsidR="00D23364" w:rsidRPr="002D70A4" w:rsidRDefault="007611D5" w:rsidP="002D70A4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</w:t>
      </w:r>
      <w:proofErr w:type="gramStart"/>
      <w:r>
        <w:rPr>
          <w:rFonts w:ascii="Times New Roman" w:hAnsi="Times New Roman" w:cs="Times New Roman"/>
          <w:sz w:val="24"/>
        </w:rPr>
        <w:t>….</w:t>
      </w:r>
      <w:r w:rsidR="002D70A4" w:rsidRPr="002D70A4">
        <w:rPr>
          <w:rFonts w:ascii="Times New Roman" w:hAnsi="Times New Roman" w:cs="Times New Roman"/>
          <w:sz w:val="24"/>
        </w:rPr>
        <w:t>– Rada</w:t>
      </w:r>
      <w:proofErr w:type="gramEnd"/>
      <w:r w:rsidR="002D70A4" w:rsidRPr="002D70A4">
        <w:rPr>
          <w:rFonts w:ascii="Times New Roman" w:hAnsi="Times New Roman" w:cs="Times New Roman"/>
          <w:sz w:val="24"/>
        </w:rPr>
        <w:t xml:space="preserve"> pro Mezinárodní účetní standardy</w:t>
      </w:r>
    </w:p>
    <w:p w:rsidR="00D23364" w:rsidRPr="002D70A4" w:rsidRDefault="002D70A4" w:rsidP="002D70A4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Vydává </w:t>
      </w:r>
      <w:r w:rsidR="007611D5">
        <w:rPr>
          <w:rFonts w:ascii="Times New Roman" w:hAnsi="Times New Roman" w:cs="Times New Roman"/>
          <w:sz w:val="24"/>
        </w:rPr>
        <w:t>………….</w:t>
      </w:r>
    </w:p>
    <w:p w:rsidR="00D23364" w:rsidRPr="002D70A4" w:rsidRDefault="002D70A4" w:rsidP="002D70A4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12 členů</w:t>
      </w:r>
    </w:p>
    <w:p w:rsidR="00D23364" w:rsidRPr="002D70A4" w:rsidRDefault="002D70A4" w:rsidP="002D70A4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Cílem je vytvořit účetní standardy prosazované na celosvětové úrovni </w:t>
      </w:r>
    </w:p>
    <w:p w:rsidR="00D23364" w:rsidRPr="002D70A4" w:rsidRDefault="007611D5" w:rsidP="002D70A4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……….</w:t>
      </w:r>
      <w:r w:rsidR="002D70A4" w:rsidRPr="002D70A4">
        <w:rPr>
          <w:rFonts w:ascii="Times New Roman" w:hAnsi="Times New Roman" w:cs="Times New Roman"/>
          <w:sz w:val="24"/>
        </w:rPr>
        <w:t xml:space="preserve"> – Výbor pro interpretace Mezinárodních standardů účetního výkaznictví</w:t>
      </w:r>
    </w:p>
    <w:p w:rsidR="00D23364" w:rsidRPr="002D70A4" w:rsidRDefault="002D70A4" w:rsidP="002D70A4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Vydává IFRIC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Struktura standardu </w:t>
      </w:r>
    </w:p>
    <w:p w:rsidR="00D23364" w:rsidRPr="002D70A4" w:rsidRDefault="002D70A4" w:rsidP="002D70A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Obsah</w:t>
      </w:r>
    </w:p>
    <w:p w:rsidR="00D23364" w:rsidRPr="002D70A4" w:rsidRDefault="007611D5" w:rsidP="002D70A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……………..</w:t>
      </w:r>
    </w:p>
    <w:p w:rsidR="00D23364" w:rsidRPr="002D70A4" w:rsidRDefault="002D70A4" w:rsidP="002D70A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Text standardu - definice pojmů, způsoby oceňování, kritéria pro vykázání položky v účetní závěrce</w:t>
      </w:r>
    </w:p>
    <w:p w:rsidR="00D23364" w:rsidRPr="002D70A4" w:rsidRDefault="002D70A4" w:rsidP="002D70A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Požadavky na zveřejnění</w:t>
      </w:r>
    </w:p>
    <w:p w:rsidR="00D23364" w:rsidRPr="002D70A4" w:rsidRDefault="007611D5" w:rsidP="002D70A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</w:t>
      </w:r>
    </w:p>
    <w:p w:rsidR="00D23364" w:rsidRPr="002D70A4" w:rsidRDefault="002D70A4" w:rsidP="002D70A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Dodatek</w:t>
      </w:r>
    </w:p>
    <w:p w:rsidR="00D23364" w:rsidRPr="002D70A4" w:rsidRDefault="002D70A4" w:rsidP="002D70A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Ilustrativní příklady 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7611D5" w:rsidRDefault="007611D5" w:rsidP="002D70A4">
      <w:pPr>
        <w:spacing w:after="0"/>
        <w:rPr>
          <w:rFonts w:ascii="Times New Roman" w:hAnsi="Times New Roman" w:cs="Times New Roman"/>
          <w:sz w:val="24"/>
        </w:rPr>
      </w:pPr>
    </w:p>
    <w:p w:rsidR="007611D5" w:rsidRDefault="007611D5" w:rsidP="002D70A4">
      <w:pPr>
        <w:spacing w:after="0"/>
        <w:rPr>
          <w:rFonts w:ascii="Times New Roman" w:hAnsi="Times New Roman" w:cs="Times New Roman"/>
          <w:sz w:val="24"/>
        </w:rPr>
      </w:pPr>
    </w:p>
    <w:p w:rsidR="007611D5" w:rsidRDefault="007611D5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Postup při tvorbě standardu</w:t>
      </w:r>
    </w:p>
    <w:p w:rsidR="00D2336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návrh tématu, zvážení, zda je nutno danou oblast upravit samostatným standardem,</w:t>
      </w:r>
    </w:p>
    <w:p w:rsidR="00D23364" w:rsidRPr="002D70A4" w:rsidRDefault="007611D5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  <w:r w:rsidR="002D70A4" w:rsidRPr="002D70A4">
        <w:rPr>
          <w:rFonts w:ascii="Times New Roman" w:hAnsi="Times New Roman" w:cs="Times New Roman"/>
          <w:sz w:val="24"/>
        </w:rPr>
        <w:t xml:space="preserve">, </w:t>
      </w:r>
    </w:p>
    <w:p w:rsidR="00D2336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konzultace s Poradním sborem,</w:t>
      </w:r>
    </w:p>
    <w:p w:rsidR="00D23364" w:rsidRPr="002D70A4" w:rsidRDefault="007611D5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  <w:r w:rsidR="002D70A4" w:rsidRPr="002D70A4">
        <w:rPr>
          <w:rFonts w:ascii="Times New Roman" w:hAnsi="Times New Roman" w:cs="Times New Roman"/>
          <w:sz w:val="24"/>
        </w:rPr>
        <w:t>,</w:t>
      </w:r>
    </w:p>
    <w:p w:rsidR="00D2336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publikování diskuzních materiálů k veřejnému připomínkování,</w:t>
      </w:r>
    </w:p>
    <w:p w:rsidR="00D2336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publikování zveřejněného návrhu standardu,</w:t>
      </w:r>
    </w:p>
    <w:p w:rsidR="00D2336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publikování závěrů v rámci zveřejněného návrhu,</w:t>
      </w:r>
    </w:p>
    <w:p w:rsidR="00D2336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posouzení připomínek, </w:t>
      </w:r>
    </w:p>
    <w:p w:rsidR="00D2336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schválení standardu, </w:t>
      </w:r>
    </w:p>
    <w:p w:rsidR="00D2336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publikování zdůvodnění závěrů v rámci standardu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7611D5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D23364" w:rsidRPr="002D70A4" w:rsidRDefault="002D70A4" w:rsidP="002D70A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Není účetním standardem </w:t>
      </w:r>
    </w:p>
    <w:p w:rsidR="00D23364" w:rsidRPr="002D70A4" w:rsidRDefault="002D70A4" w:rsidP="002D70A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Účel a cíl koncepčního rámce </w:t>
      </w:r>
    </w:p>
    <w:p w:rsidR="00D23364" w:rsidRPr="002D70A4" w:rsidRDefault="002D70A4" w:rsidP="002D70A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Je východiskem pro </w:t>
      </w:r>
      <w:r w:rsidR="007611D5">
        <w:rPr>
          <w:rFonts w:ascii="Times New Roman" w:hAnsi="Times New Roman" w:cs="Times New Roman"/>
          <w:sz w:val="24"/>
        </w:rPr>
        <w:t>………………………………………</w:t>
      </w:r>
      <w:r w:rsidRPr="002D70A4">
        <w:rPr>
          <w:rFonts w:ascii="Times New Roman" w:hAnsi="Times New Roman" w:cs="Times New Roman"/>
          <w:sz w:val="24"/>
        </w:rPr>
        <w:t xml:space="preserve"> </w:t>
      </w:r>
    </w:p>
    <w:p w:rsidR="00D23364" w:rsidRPr="002D70A4" w:rsidRDefault="002D70A4" w:rsidP="002D70A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Výkazy informují o finanční pozici, výkonnosti a změnách ve finanční pozici </w:t>
      </w:r>
    </w:p>
    <w:p w:rsidR="00D23364" w:rsidRPr="002D70A4" w:rsidRDefault="002D70A4" w:rsidP="002D70A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Základní </w:t>
      </w:r>
      <w:r w:rsidRPr="002D70A4">
        <w:rPr>
          <w:rFonts w:ascii="Times New Roman" w:hAnsi="Times New Roman" w:cs="Times New Roman"/>
          <w:b/>
          <w:bCs/>
          <w:sz w:val="24"/>
        </w:rPr>
        <w:t>prvky účetní závěrky</w:t>
      </w:r>
      <w:r w:rsidRPr="002D70A4">
        <w:rPr>
          <w:rFonts w:ascii="Times New Roman" w:hAnsi="Times New Roman" w:cs="Times New Roman"/>
          <w:sz w:val="24"/>
        </w:rPr>
        <w:t xml:space="preserve">: </w:t>
      </w:r>
      <w:r w:rsidR="007611D5">
        <w:rPr>
          <w:rFonts w:ascii="Times New Roman" w:hAnsi="Times New Roman" w:cs="Times New Roman"/>
          <w:sz w:val="24"/>
        </w:rPr>
        <w:t>…………………</w:t>
      </w:r>
      <w:r w:rsidRPr="002D70A4">
        <w:rPr>
          <w:rFonts w:ascii="Times New Roman" w:hAnsi="Times New Roman" w:cs="Times New Roman"/>
          <w:sz w:val="24"/>
        </w:rPr>
        <w:t xml:space="preserve">, vlastní kapitál, náklady, výnosy </w:t>
      </w:r>
    </w:p>
    <w:p w:rsidR="00D23364" w:rsidRPr="002D70A4" w:rsidRDefault="002D70A4" w:rsidP="002D70A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Oceňování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7611D5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:rsidR="00D23364" w:rsidRPr="002D70A4" w:rsidRDefault="002D70A4" w:rsidP="002D70A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Standard pro malé a střední podniky (jednotky)</w:t>
      </w:r>
    </w:p>
    <w:p w:rsidR="00D23364" w:rsidRPr="002D70A4" w:rsidRDefault="002D70A4" w:rsidP="002D70A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Zjednodušená verze plných IFRS</w:t>
      </w:r>
    </w:p>
    <w:p w:rsidR="00D23364" w:rsidRPr="002D70A4" w:rsidRDefault="002D70A4" w:rsidP="002D70A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Malý a střední podnik:</w:t>
      </w:r>
    </w:p>
    <w:p w:rsidR="00D23364" w:rsidRPr="002D70A4" w:rsidRDefault="002D70A4" w:rsidP="002D70A4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Podnik, který nemá veřejnou odpovědnost </w:t>
      </w:r>
    </w:p>
    <w:p w:rsidR="00D23364" w:rsidRPr="002D70A4" w:rsidRDefault="002D70A4" w:rsidP="002D70A4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Podnik, který uveřejňuje účetní závěrku pro externího uživatele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2D70A4" w:rsidP="002D70A4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Účetní závěrka dle IFRS pro SME</w:t>
      </w:r>
    </w:p>
    <w:p w:rsidR="00D23364" w:rsidRPr="002D70A4" w:rsidRDefault="002D70A4" w:rsidP="002D70A4">
      <w:pPr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Výkaz </w:t>
      </w:r>
      <w:r w:rsidR="007611D5">
        <w:rPr>
          <w:rFonts w:ascii="Times New Roman" w:hAnsi="Times New Roman" w:cs="Times New Roman"/>
          <w:sz w:val="24"/>
        </w:rPr>
        <w:t>………………………</w:t>
      </w:r>
    </w:p>
    <w:p w:rsidR="00D23364" w:rsidRPr="002D70A4" w:rsidRDefault="002D70A4" w:rsidP="002D70A4">
      <w:pPr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Výkaz </w:t>
      </w:r>
      <w:r w:rsidR="007611D5">
        <w:rPr>
          <w:rFonts w:ascii="Times New Roman" w:hAnsi="Times New Roman" w:cs="Times New Roman"/>
          <w:sz w:val="24"/>
        </w:rPr>
        <w:t>…………………………………</w:t>
      </w:r>
      <w:proofErr w:type="gramStart"/>
      <w:r w:rsidR="007611D5">
        <w:rPr>
          <w:rFonts w:ascii="Times New Roman" w:hAnsi="Times New Roman" w:cs="Times New Roman"/>
          <w:sz w:val="24"/>
        </w:rPr>
        <w:t>…..</w:t>
      </w:r>
      <w:proofErr w:type="gramEnd"/>
    </w:p>
    <w:p w:rsidR="00D23364" w:rsidRPr="002D70A4" w:rsidRDefault="002D70A4" w:rsidP="002D70A4">
      <w:pPr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Výkaz </w:t>
      </w:r>
      <w:r w:rsidR="007611D5">
        <w:rPr>
          <w:rFonts w:ascii="Times New Roman" w:hAnsi="Times New Roman" w:cs="Times New Roman"/>
          <w:sz w:val="24"/>
        </w:rPr>
        <w:t>……………………………</w:t>
      </w:r>
    </w:p>
    <w:p w:rsidR="00D23364" w:rsidRPr="002D70A4" w:rsidRDefault="002D70A4" w:rsidP="002D70A4">
      <w:pPr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Výkaz </w:t>
      </w:r>
      <w:r w:rsidR="007611D5">
        <w:rPr>
          <w:rFonts w:ascii="Times New Roman" w:hAnsi="Times New Roman" w:cs="Times New Roman"/>
          <w:sz w:val="24"/>
        </w:rPr>
        <w:t>…………………………………</w:t>
      </w:r>
      <w:proofErr w:type="gramStart"/>
      <w:r w:rsidR="007611D5">
        <w:rPr>
          <w:rFonts w:ascii="Times New Roman" w:hAnsi="Times New Roman" w:cs="Times New Roman"/>
          <w:sz w:val="24"/>
        </w:rPr>
        <w:t>…..</w:t>
      </w:r>
      <w:proofErr w:type="gramEnd"/>
    </w:p>
    <w:p w:rsidR="00D23364" w:rsidRPr="002D70A4" w:rsidRDefault="002D70A4" w:rsidP="002D70A4">
      <w:pPr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Komentář </w:t>
      </w:r>
    </w:p>
    <w:p w:rsidR="007611D5" w:rsidRDefault="007611D5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Výkaz o úplném VH a výkaz změn VK může být nahrazen výkazem o výsledku a zadržených ziscích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2D70A4" w:rsidP="002D70A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IFRS pro SME neupravuje:</w:t>
      </w:r>
    </w:p>
    <w:p w:rsidR="00D23364" w:rsidRPr="002D70A4" w:rsidRDefault="007611D5" w:rsidP="002D70A4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</w:p>
    <w:p w:rsidR="00D23364" w:rsidRPr="002D70A4" w:rsidRDefault="002D70A4" w:rsidP="002D70A4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2D70A4">
        <w:rPr>
          <w:rFonts w:ascii="Times New Roman" w:hAnsi="Times New Roman" w:cs="Times New Roman"/>
          <w:sz w:val="24"/>
        </w:rPr>
        <w:t>Mezitimní</w:t>
      </w:r>
      <w:proofErr w:type="spellEnd"/>
      <w:r w:rsidRPr="002D70A4">
        <w:rPr>
          <w:rFonts w:ascii="Times New Roman" w:hAnsi="Times New Roman" w:cs="Times New Roman"/>
          <w:sz w:val="24"/>
        </w:rPr>
        <w:t xml:space="preserve"> účetní závěrka</w:t>
      </w:r>
    </w:p>
    <w:p w:rsidR="00D23364" w:rsidRPr="002D70A4" w:rsidRDefault="002D70A4" w:rsidP="002D70A4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Vykazování podle segmentů</w:t>
      </w:r>
    </w:p>
    <w:p w:rsidR="00D23364" w:rsidRPr="002D70A4" w:rsidRDefault="002D70A4" w:rsidP="002D70A4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Pojištění</w:t>
      </w:r>
    </w:p>
    <w:p w:rsidR="00D23364" w:rsidRPr="002D70A4" w:rsidRDefault="002D70A4" w:rsidP="002D70A4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Aktiva určená k prodeji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2D70A4" w:rsidP="002D70A4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lastRenderedPageBreak/>
        <w:t>IFRS pro SME nepoužívá tyto metody a účetní postupy:</w:t>
      </w:r>
    </w:p>
    <w:p w:rsidR="00D23364" w:rsidRPr="002D70A4" w:rsidRDefault="002D70A4" w:rsidP="002D70A4">
      <w:pPr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Kapitalizace </w:t>
      </w:r>
      <w:proofErr w:type="spellStart"/>
      <w:r w:rsidRPr="002D70A4">
        <w:rPr>
          <w:rFonts w:ascii="Times New Roman" w:hAnsi="Times New Roman" w:cs="Times New Roman"/>
          <w:sz w:val="24"/>
        </w:rPr>
        <w:t>vypůjčních</w:t>
      </w:r>
      <w:proofErr w:type="spellEnd"/>
      <w:r w:rsidRPr="002D70A4">
        <w:rPr>
          <w:rFonts w:ascii="Times New Roman" w:hAnsi="Times New Roman" w:cs="Times New Roman"/>
          <w:sz w:val="24"/>
        </w:rPr>
        <w:t xml:space="preserve"> nákladů</w:t>
      </w:r>
    </w:p>
    <w:p w:rsidR="00D23364" w:rsidRPr="002D70A4" w:rsidRDefault="007611D5" w:rsidP="002D70A4">
      <w:pPr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……………………………………………..</w:t>
      </w:r>
    </w:p>
    <w:p w:rsidR="00D23364" w:rsidRPr="002D70A4" w:rsidRDefault="002D70A4" w:rsidP="002D70A4">
      <w:pPr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Přeceňování model pro pozemky, budovy a zařízení</w:t>
      </w:r>
    </w:p>
    <w:p w:rsidR="00D23364" w:rsidRPr="002D70A4" w:rsidRDefault="002D70A4" w:rsidP="002D70A4">
      <w:pPr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Poměrná konsolidace podílů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7611D5" w:rsidRDefault="007611D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2D70A4" w:rsidRDefault="002D70A4" w:rsidP="002D70A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2D70A4">
        <w:rPr>
          <w:rFonts w:ascii="Times New Roman" w:hAnsi="Times New Roman" w:cs="Times New Roman"/>
          <w:b/>
          <w:sz w:val="24"/>
          <w:u w:val="single"/>
        </w:rPr>
        <w:lastRenderedPageBreak/>
        <w:t>US GAAP</w:t>
      </w:r>
    </w:p>
    <w:p w:rsidR="007611D5" w:rsidRPr="002D70A4" w:rsidRDefault="007611D5" w:rsidP="002D70A4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D23364" w:rsidRPr="002D70A4" w:rsidRDefault="007611D5" w:rsidP="002D70A4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r w:rsidR="002D70A4" w:rsidRPr="002D70A4">
        <w:rPr>
          <w:rFonts w:ascii="Times New Roman" w:hAnsi="Times New Roman" w:cs="Times New Roman"/>
          <w:sz w:val="24"/>
        </w:rPr>
        <w:t xml:space="preserve"> = GENERALLY ACCEPTED ACCOUNTING PRINCIPLES</w:t>
      </w:r>
    </w:p>
    <w:p w:rsidR="00D23364" w:rsidRPr="002D70A4" w:rsidRDefault="002D70A4" w:rsidP="002D70A4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začaly se vydávat ve 30. letech min. století, vznikly jako přímý důsledek krachu na newyorské burze</w:t>
      </w:r>
    </w:p>
    <w:p w:rsidR="00D23364" w:rsidRPr="002D70A4" w:rsidRDefault="002D70A4" w:rsidP="002D70A4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představují nejucelenější a nejvypracovanější soubor požadavků na obsah, formu a zveřejňování účetních závěrek</w:t>
      </w:r>
    </w:p>
    <w:p w:rsidR="00D23364" w:rsidRPr="002D70A4" w:rsidRDefault="002D70A4" w:rsidP="002D70A4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nejúplnější systém regulace účetnictví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7611D5" w:rsidP="002D70A4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r w:rsidR="002D70A4" w:rsidRPr="002D70A4">
        <w:rPr>
          <w:rFonts w:ascii="Times New Roman" w:hAnsi="Times New Roman" w:cs="Times New Roman"/>
          <w:sz w:val="24"/>
        </w:rPr>
        <w:t xml:space="preserve"> zahrnují:</w:t>
      </w:r>
    </w:p>
    <w:p w:rsidR="00D23364" w:rsidRPr="002D70A4" w:rsidRDefault="007611D5" w:rsidP="002D70A4">
      <w:pPr>
        <w:numPr>
          <w:ilvl w:val="1"/>
          <w:numId w:val="2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  <w:r w:rsidR="002D70A4" w:rsidRPr="002D70A4">
        <w:rPr>
          <w:rFonts w:ascii="Times New Roman" w:hAnsi="Times New Roman" w:cs="Times New Roman"/>
          <w:sz w:val="24"/>
        </w:rPr>
        <w:t xml:space="preserve"> – SFAC</w:t>
      </w:r>
    </w:p>
    <w:p w:rsidR="00D23364" w:rsidRPr="002D70A4" w:rsidRDefault="007611D5" w:rsidP="002D70A4">
      <w:pPr>
        <w:numPr>
          <w:ilvl w:val="1"/>
          <w:numId w:val="2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</w:t>
      </w:r>
      <w:r w:rsidR="002D70A4" w:rsidRPr="002D70A4">
        <w:rPr>
          <w:rFonts w:ascii="Times New Roman" w:hAnsi="Times New Roman" w:cs="Times New Roman"/>
          <w:sz w:val="24"/>
        </w:rPr>
        <w:t xml:space="preserve"> – SFAS </w:t>
      </w:r>
    </w:p>
    <w:p w:rsidR="00D23364" w:rsidRPr="002D70A4" w:rsidRDefault="007611D5" w:rsidP="002D70A4">
      <w:pPr>
        <w:numPr>
          <w:ilvl w:val="1"/>
          <w:numId w:val="2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  <w:r w:rsidR="002D70A4" w:rsidRPr="002D70A4">
        <w:rPr>
          <w:rFonts w:ascii="Times New Roman" w:hAnsi="Times New Roman" w:cs="Times New Roman"/>
          <w:sz w:val="24"/>
        </w:rPr>
        <w:t xml:space="preserve"> – FIN </w:t>
      </w:r>
    </w:p>
    <w:p w:rsidR="00D23364" w:rsidRPr="002D70A4" w:rsidRDefault="002D70A4" w:rsidP="002D70A4">
      <w:pPr>
        <w:numPr>
          <w:ilvl w:val="1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Finální stanoviska Rady – </w:t>
      </w:r>
      <w:proofErr w:type="spellStart"/>
      <w:r w:rsidRPr="002D70A4">
        <w:rPr>
          <w:rFonts w:ascii="Times New Roman" w:hAnsi="Times New Roman" w:cs="Times New Roman"/>
          <w:sz w:val="24"/>
        </w:rPr>
        <w:t>FSPs</w:t>
      </w:r>
      <w:proofErr w:type="spellEnd"/>
      <w:r w:rsidRPr="002D70A4">
        <w:rPr>
          <w:rFonts w:ascii="Times New Roman" w:hAnsi="Times New Roman" w:cs="Times New Roman"/>
          <w:sz w:val="24"/>
        </w:rPr>
        <w:t xml:space="preserve"> </w:t>
      </w:r>
    </w:p>
    <w:p w:rsidR="00D23364" w:rsidRPr="002D70A4" w:rsidRDefault="002D70A4" w:rsidP="002D70A4">
      <w:pPr>
        <w:numPr>
          <w:ilvl w:val="1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Technické věstníky – TB </w:t>
      </w:r>
    </w:p>
    <w:p w:rsidR="007611D5" w:rsidRPr="007611D5" w:rsidRDefault="007611D5" w:rsidP="007611D5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D23364" w:rsidRPr="002D70A4" w:rsidRDefault="002D70A4" w:rsidP="007611D5">
      <w:pPr>
        <w:spacing w:after="0"/>
        <w:ind w:left="72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b/>
          <w:bCs/>
          <w:sz w:val="24"/>
        </w:rPr>
        <w:t xml:space="preserve">Základní zásady </w:t>
      </w:r>
      <w:r w:rsidRPr="002D70A4">
        <w:rPr>
          <w:rFonts w:ascii="Times New Roman" w:hAnsi="Times New Roman" w:cs="Times New Roman"/>
          <w:sz w:val="24"/>
        </w:rPr>
        <w:t xml:space="preserve">– </w:t>
      </w:r>
      <w:r w:rsidR="007611D5">
        <w:rPr>
          <w:rFonts w:ascii="Times New Roman" w:hAnsi="Times New Roman" w:cs="Times New Roman"/>
          <w:sz w:val="24"/>
        </w:rPr>
        <w:t>…………………….</w:t>
      </w:r>
      <w:r w:rsidRPr="002D70A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D70A4">
        <w:rPr>
          <w:rFonts w:ascii="Times New Roman" w:hAnsi="Times New Roman" w:cs="Times New Roman"/>
          <w:sz w:val="24"/>
        </w:rPr>
        <w:t>rozpoznání</w:t>
      </w:r>
      <w:proofErr w:type="gramEnd"/>
      <w:r w:rsidRPr="002D70A4">
        <w:rPr>
          <w:rFonts w:ascii="Times New Roman" w:hAnsi="Times New Roman" w:cs="Times New Roman"/>
          <w:sz w:val="24"/>
        </w:rPr>
        <w:t xml:space="preserve"> tržeb, omezení, zásada opatrnosti, akruální báze, zásada konzistence, objektivity</w:t>
      </w:r>
      <w:r w:rsidR="007611D5">
        <w:rPr>
          <w:rFonts w:ascii="Times New Roman" w:hAnsi="Times New Roman" w:cs="Times New Roman"/>
          <w:sz w:val="24"/>
        </w:rPr>
        <w:t>……………………</w:t>
      </w:r>
      <w:r w:rsidRPr="002D70A4">
        <w:rPr>
          <w:rFonts w:ascii="Times New Roman" w:hAnsi="Times New Roman" w:cs="Times New Roman"/>
          <w:sz w:val="24"/>
        </w:rPr>
        <w:t xml:space="preserve">, předpoklad trvání podniku, věrný a poctivý obraz, průmyslové zvyklosti 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7611D5" w:rsidP="002D70A4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…………………………………………..</w:t>
      </w:r>
      <w:r w:rsidR="002D70A4" w:rsidRPr="002D70A4">
        <w:rPr>
          <w:rFonts w:ascii="Times New Roman" w:hAnsi="Times New Roman" w:cs="Times New Roman"/>
          <w:sz w:val="24"/>
        </w:rPr>
        <w:t xml:space="preserve"> = Rada pro účetní standardy</w:t>
      </w:r>
    </w:p>
    <w:p w:rsidR="00D23364" w:rsidRPr="002D70A4" w:rsidRDefault="002D70A4" w:rsidP="002D70A4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Úkolem je tvorba účetních standardů, které jsou uznávány burzou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Základní zásady US GAAP</w:t>
      </w:r>
    </w:p>
    <w:p w:rsidR="00D23364" w:rsidRPr="002D70A4" w:rsidRDefault="007611D5" w:rsidP="002D70A4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2D70A4" w:rsidRPr="002D70A4">
        <w:rPr>
          <w:rFonts w:ascii="Times New Roman" w:hAnsi="Times New Roman" w:cs="Times New Roman"/>
          <w:sz w:val="24"/>
        </w:rPr>
        <w:t xml:space="preserve"> – ocenění</w:t>
      </w:r>
      <w:proofErr w:type="gramEnd"/>
      <w:r w:rsidR="002D70A4" w:rsidRPr="002D70A4">
        <w:rPr>
          <w:rFonts w:ascii="Times New Roman" w:hAnsi="Times New Roman" w:cs="Times New Roman"/>
          <w:sz w:val="24"/>
        </w:rPr>
        <w:t xml:space="preserve"> historickou – pořizovací cenou</w:t>
      </w:r>
    </w:p>
    <w:p w:rsidR="00D23364" w:rsidRPr="002D70A4" w:rsidRDefault="007611D5" w:rsidP="002D70A4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</w:t>
      </w:r>
      <w:r w:rsidR="002D70A4" w:rsidRPr="002D70A4">
        <w:rPr>
          <w:rFonts w:ascii="Times New Roman" w:hAnsi="Times New Roman" w:cs="Times New Roman"/>
          <w:sz w:val="24"/>
        </w:rPr>
        <w:t xml:space="preserve"> – k vykázání musí proběhnout transakce, transakce musí být zasloužena</w:t>
      </w:r>
    </w:p>
    <w:p w:rsidR="00D23364" w:rsidRPr="002D70A4" w:rsidRDefault="002D70A4" w:rsidP="002D70A4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Plné zveřejnění </w:t>
      </w:r>
    </w:p>
    <w:p w:rsidR="00D23364" w:rsidRPr="002D70A4" w:rsidRDefault="007611D5" w:rsidP="002D70A4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2D70A4" w:rsidRPr="002D70A4">
        <w:rPr>
          <w:rFonts w:ascii="Times New Roman" w:hAnsi="Times New Roman" w:cs="Times New Roman"/>
          <w:sz w:val="24"/>
        </w:rPr>
        <w:t xml:space="preserve"> – cena</w:t>
      </w:r>
      <w:proofErr w:type="gramEnd"/>
      <w:r w:rsidR="002D70A4" w:rsidRPr="002D70A4">
        <w:rPr>
          <w:rFonts w:ascii="Times New Roman" w:hAnsi="Times New Roman" w:cs="Times New Roman"/>
          <w:sz w:val="24"/>
        </w:rPr>
        <w:t xml:space="preserve"> informace nepřesahuje užitek</w:t>
      </w:r>
    </w:p>
    <w:p w:rsidR="00D23364" w:rsidRPr="002D70A4" w:rsidRDefault="007611D5" w:rsidP="002D70A4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</w:t>
      </w:r>
      <w:r w:rsidR="002D70A4" w:rsidRPr="002D70A4">
        <w:rPr>
          <w:rFonts w:ascii="Times New Roman" w:hAnsi="Times New Roman" w:cs="Times New Roman"/>
          <w:sz w:val="24"/>
        </w:rPr>
        <w:t xml:space="preserve">i – při oceňování zohlednit předpokládané zisky / ztráty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7611D5" w:rsidP="002D70A4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2D70A4" w:rsidRPr="002D70A4">
        <w:rPr>
          <w:rFonts w:ascii="Times New Roman" w:hAnsi="Times New Roman" w:cs="Times New Roman"/>
          <w:sz w:val="24"/>
        </w:rPr>
        <w:t xml:space="preserve"> – vykazuje se za celek</w:t>
      </w:r>
    </w:p>
    <w:p w:rsidR="00D23364" w:rsidRPr="002D70A4" w:rsidRDefault="002D70A4" w:rsidP="002D70A4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Předpoklad trvání podniku – pokračování v činnosti </w:t>
      </w:r>
    </w:p>
    <w:p w:rsidR="00D23364" w:rsidRPr="002D70A4" w:rsidRDefault="007611D5" w:rsidP="002D70A4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</w:t>
      </w:r>
      <w:r w:rsidR="002D70A4" w:rsidRPr="002D70A4">
        <w:rPr>
          <w:rFonts w:ascii="Times New Roman" w:hAnsi="Times New Roman" w:cs="Times New Roman"/>
          <w:sz w:val="24"/>
        </w:rPr>
        <w:t xml:space="preserve"> – vykázání transakcí kdy vznikly, bez ohledu na peněžní toky</w:t>
      </w:r>
    </w:p>
    <w:p w:rsidR="00D23364" w:rsidRPr="002D70A4" w:rsidRDefault="002D70A4" w:rsidP="002D70A4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Zásada periodicity – při zjišťování VH </w:t>
      </w:r>
    </w:p>
    <w:p w:rsidR="00D23364" w:rsidRPr="002D70A4" w:rsidRDefault="007611D5" w:rsidP="002D70A4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  <w:r w:rsidR="002D70A4" w:rsidRPr="002D70A4">
        <w:rPr>
          <w:rFonts w:ascii="Times New Roman" w:hAnsi="Times New Roman" w:cs="Times New Roman"/>
          <w:sz w:val="24"/>
        </w:rPr>
        <w:t xml:space="preserve"> – stálost metod </w:t>
      </w:r>
    </w:p>
    <w:p w:rsidR="00D23364" w:rsidRPr="002D70A4" w:rsidRDefault="002D70A4" w:rsidP="002D70A4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Zásada objektivity informací – změny se zachytí, až když jsou objektivně zjištěny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Složení US GAAP v minulosti </w:t>
      </w:r>
    </w:p>
    <w:p w:rsidR="00D23364" w:rsidRPr="002D70A4" w:rsidRDefault="002D70A4" w:rsidP="002D70A4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Kategorie </w:t>
      </w:r>
      <w:r w:rsidR="007611D5">
        <w:rPr>
          <w:rFonts w:ascii="Times New Roman" w:hAnsi="Times New Roman" w:cs="Times New Roman"/>
          <w:sz w:val="24"/>
        </w:rPr>
        <w:t>…</w:t>
      </w:r>
      <w:r w:rsidRPr="002D70A4">
        <w:rPr>
          <w:rFonts w:ascii="Times New Roman" w:hAnsi="Times New Roman" w:cs="Times New Roman"/>
          <w:sz w:val="24"/>
        </w:rPr>
        <w:t xml:space="preserve"> – standardy </w:t>
      </w:r>
      <w:r w:rsidR="007611D5">
        <w:rPr>
          <w:rFonts w:ascii="Times New Roman" w:hAnsi="Times New Roman" w:cs="Times New Roman"/>
          <w:sz w:val="24"/>
        </w:rPr>
        <w:t>…………….</w:t>
      </w:r>
      <w:r w:rsidRPr="002D70A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D70A4">
        <w:rPr>
          <w:rFonts w:ascii="Times New Roman" w:hAnsi="Times New Roman" w:cs="Times New Roman"/>
          <w:sz w:val="24"/>
        </w:rPr>
        <w:t>interpretace</w:t>
      </w:r>
      <w:proofErr w:type="gramEnd"/>
      <w:r w:rsidRPr="002D70A4">
        <w:rPr>
          <w:rFonts w:ascii="Times New Roman" w:hAnsi="Times New Roman" w:cs="Times New Roman"/>
          <w:sz w:val="24"/>
        </w:rPr>
        <w:t xml:space="preserve"> FASB, prováděcí otázky, pozice zaměstnanců, účetní výzkumné bulletiny</w:t>
      </w:r>
    </w:p>
    <w:p w:rsidR="00D23364" w:rsidRPr="002D70A4" w:rsidRDefault="007611D5" w:rsidP="002D70A4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…………….</w:t>
      </w:r>
      <w:r w:rsidR="002D70A4" w:rsidRPr="002D70A4">
        <w:rPr>
          <w:rFonts w:ascii="Times New Roman" w:hAnsi="Times New Roman" w:cs="Times New Roman"/>
          <w:sz w:val="24"/>
        </w:rPr>
        <w:t xml:space="preserve"> – technické bulletiny, auditorské a účetní směrnice</w:t>
      </w:r>
    </w:p>
    <w:p w:rsidR="00D23364" w:rsidRPr="002D70A4" w:rsidRDefault="002D70A4" w:rsidP="002D70A4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Kategorie C – praktické bulletiny, diskutované problémy</w:t>
      </w:r>
    </w:p>
    <w:p w:rsidR="00D23364" w:rsidRPr="002D70A4" w:rsidRDefault="007611D5" w:rsidP="002D70A4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</w:t>
      </w:r>
      <w:r w:rsidR="002D70A4" w:rsidRPr="002D70A4">
        <w:rPr>
          <w:rFonts w:ascii="Times New Roman" w:hAnsi="Times New Roman" w:cs="Times New Roman"/>
          <w:sz w:val="24"/>
        </w:rPr>
        <w:t xml:space="preserve"> – účetní interpretace, prováděcí příručky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Současné složení </w:t>
      </w:r>
    </w:p>
    <w:p w:rsidR="00D23364" w:rsidRPr="002D70A4" w:rsidRDefault="002D70A4" w:rsidP="002D70A4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Dokumenty FASB</w:t>
      </w:r>
    </w:p>
    <w:p w:rsidR="00D23364" w:rsidRPr="002D70A4" w:rsidRDefault="002D70A4" w:rsidP="002D70A4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Prohlášení o koncepci finančního účetnictví (SFAC 1 – SFAC 8)</w:t>
      </w:r>
    </w:p>
    <w:p w:rsidR="00D23364" w:rsidRPr="002D70A4" w:rsidRDefault="007611D5" w:rsidP="002D70A4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…………………………………………..</w:t>
      </w:r>
    </w:p>
    <w:p w:rsidR="00D23364" w:rsidRPr="002D70A4" w:rsidRDefault="002D70A4" w:rsidP="002D70A4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Kvalitativní vlastnosti účetních informací </w:t>
      </w:r>
    </w:p>
    <w:p w:rsidR="00D23364" w:rsidRPr="002D70A4" w:rsidRDefault="007611D5" w:rsidP="002D70A4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:rsidR="00D23364" w:rsidRPr="002D70A4" w:rsidRDefault="002D70A4" w:rsidP="002D70A4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Cíle finančního výkaznictví nepodnikatelských jednotek</w:t>
      </w:r>
    </w:p>
    <w:p w:rsidR="00D23364" w:rsidRPr="002D70A4" w:rsidRDefault="007611D5" w:rsidP="002D70A4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:rsidR="00D23364" w:rsidRPr="002D70A4" w:rsidRDefault="002D70A4" w:rsidP="002D70A4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Použití informací o hotovostních tocích, současné hodnotě</w:t>
      </w:r>
    </w:p>
    <w:p w:rsidR="00D23364" w:rsidRPr="002D70A4" w:rsidRDefault="002D70A4" w:rsidP="002D70A4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Koncepční rámec pro finanční výkaznictví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Aplikace US GAAP</w:t>
      </w:r>
    </w:p>
    <w:p w:rsidR="00D23364" w:rsidRPr="002D70A4" w:rsidRDefault="007611D5" w:rsidP="002D70A4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2D70A4" w:rsidRPr="002D70A4">
        <w:rPr>
          <w:rFonts w:ascii="Times New Roman" w:hAnsi="Times New Roman" w:cs="Times New Roman"/>
          <w:sz w:val="24"/>
        </w:rPr>
        <w:t xml:space="preserve"> – zpravidla nepoužívají</w:t>
      </w:r>
    </w:p>
    <w:p w:rsidR="00D23364" w:rsidRPr="002D70A4" w:rsidRDefault="007611D5" w:rsidP="002D70A4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2D70A4" w:rsidRPr="002D70A4">
        <w:rPr>
          <w:rFonts w:ascii="Times New Roman" w:hAnsi="Times New Roman" w:cs="Times New Roman"/>
          <w:sz w:val="24"/>
        </w:rPr>
        <w:t xml:space="preserve"> – zde je již důvod pro použití US GAAP protože každý licencovaný auditor v USA může auditovat pouze podle US GAAP</w:t>
      </w:r>
    </w:p>
    <w:p w:rsidR="00D23364" w:rsidRPr="002D70A4" w:rsidRDefault="007611D5" w:rsidP="002D70A4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</w:t>
      </w:r>
      <w:r w:rsidR="002D70A4" w:rsidRPr="002D70A4">
        <w:rPr>
          <w:rFonts w:ascii="Times New Roman" w:hAnsi="Times New Roman" w:cs="Times New Roman"/>
          <w:sz w:val="24"/>
        </w:rPr>
        <w:t xml:space="preserve"> – chtějí své cenné papíry prodávat široké veřejnosti, musí používat US GAAP z toho důvodu, aby je americká komise pro CP pustila na burzu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2D70A4" w:rsidP="002D70A4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Podniky, které jsou </w:t>
      </w:r>
      <w:r w:rsidR="007611D5">
        <w:rPr>
          <w:rFonts w:ascii="Times New Roman" w:hAnsi="Times New Roman" w:cs="Times New Roman"/>
          <w:sz w:val="24"/>
        </w:rPr>
        <w:t>……………………</w:t>
      </w:r>
      <w:r w:rsidRPr="002D70A4">
        <w:rPr>
          <w:rFonts w:ascii="Times New Roman" w:hAnsi="Times New Roman" w:cs="Times New Roman"/>
          <w:sz w:val="24"/>
        </w:rPr>
        <w:t xml:space="preserve"> a jsou emitentem cenných papírů na evropském regulovatelném trhu – účtují a sestavují účetní závěrku podle </w:t>
      </w:r>
      <w:r w:rsidRPr="002D70A4">
        <w:rPr>
          <w:rFonts w:ascii="Times New Roman" w:hAnsi="Times New Roman" w:cs="Times New Roman"/>
          <w:b/>
          <w:bCs/>
          <w:sz w:val="24"/>
        </w:rPr>
        <w:t xml:space="preserve">IFRS </w:t>
      </w:r>
      <w:r w:rsidRPr="002D70A4">
        <w:rPr>
          <w:rFonts w:ascii="Times New Roman" w:hAnsi="Times New Roman" w:cs="Times New Roman"/>
          <w:sz w:val="24"/>
        </w:rPr>
        <w:t xml:space="preserve"> (schválené právem EU)</w:t>
      </w:r>
    </w:p>
    <w:p w:rsidR="00D23364" w:rsidRPr="002D70A4" w:rsidRDefault="002D70A4" w:rsidP="002D70A4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Ostatní účtují a sestavují podle ČÚP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 GAAP, IFRS </w:t>
      </w:r>
    </w:p>
    <w:p w:rsidR="00D23364" w:rsidRPr="002D70A4" w:rsidRDefault="007611D5" w:rsidP="002D70A4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</w:t>
      </w:r>
      <w:r w:rsidR="002D70A4" w:rsidRPr="002D70A4">
        <w:rPr>
          <w:rFonts w:ascii="Times New Roman" w:hAnsi="Times New Roman" w:cs="Times New Roman"/>
          <w:sz w:val="24"/>
        </w:rPr>
        <w:t xml:space="preserve"> – přijímány evropskými akciovými burzami, US GAAP americkými burzami </w:t>
      </w:r>
    </w:p>
    <w:p w:rsidR="00D23364" w:rsidRPr="002D70A4" w:rsidRDefault="007611D5" w:rsidP="002D70A4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 j</w:t>
      </w:r>
      <w:r w:rsidR="002D70A4" w:rsidRPr="002D70A4">
        <w:rPr>
          <w:rFonts w:ascii="Times New Roman" w:hAnsi="Times New Roman" w:cs="Times New Roman"/>
          <w:sz w:val="24"/>
        </w:rPr>
        <w:t>sou méně detailní a méně popisné oproti US GAAP</w:t>
      </w:r>
    </w:p>
    <w:p w:rsidR="00D23364" w:rsidRPr="002D70A4" w:rsidRDefault="002D70A4" w:rsidP="002D70A4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Zveřejnění informací dle US GAAP je širší než dle IFRS</w:t>
      </w:r>
    </w:p>
    <w:p w:rsidR="00D23364" w:rsidRPr="002D70A4" w:rsidRDefault="007611D5" w:rsidP="002D70A4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r w:rsidR="002D70A4" w:rsidRPr="002D70A4">
        <w:rPr>
          <w:rFonts w:ascii="Times New Roman" w:hAnsi="Times New Roman" w:cs="Times New Roman"/>
          <w:sz w:val="24"/>
        </w:rPr>
        <w:t xml:space="preserve"> zahájily v r. 2006 konvergenci IFRS a US GAAP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7611D5" w:rsidRDefault="007611D5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7611D5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D23364" w:rsidRPr="002D70A4" w:rsidRDefault="002D70A4" w:rsidP="002D70A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Cílem je odstranit rozdíly mezi IFRS a US GAAP</w:t>
      </w:r>
    </w:p>
    <w:p w:rsidR="00D23364" w:rsidRPr="002D70A4" w:rsidRDefault="002D70A4" w:rsidP="002D70A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Nové standardy vytvářet společně </w:t>
      </w:r>
    </w:p>
    <w:p w:rsidR="00D23364" w:rsidRPr="002D70A4" w:rsidRDefault="002D70A4" w:rsidP="002D70A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Nejprve předpoklad vzniku společného </w:t>
      </w:r>
      <w:r w:rsidR="007611D5">
        <w:rPr>
          <w:rFonts w:ascii="Times New Roman" w:hAnsi="Times New Roman" w:cs="Times New Roman"/>
          <w:sz w:val="24"/>
        </w:rPr>
        <w:t>………………………………….</w:t>
      </w:r>
    </w:p>
    <w:p w:rsidR="00D23364" w:rsidRPr="002D70A4" w:rsidRDefault="002D70A4" w:rsidP="002D70A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2007 – dohoda Americké komise pro cenné papíry a burzy o možnosti sestavit účetnictví závěrku dle IFRS</w:t>
      </w:r>
    </w:p>
    <w:p w:rsidR="00D23364" w:rsidRDefault="002D70A4" w:rsidP="002D70A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Od roku 2012 projekt konvergence stagnuje, ukončen r. 2014 z důvodu nezájmu americké strany pokračovat dále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7611D5" w:rsidRDefault="007611D5" w:rsidP="002D70A4">
      <w:pPr>
        <w:spacing w:after="0"/>
        <w:rPr>
          <w:rFonts w:ascii="Times New Roman" w:hAnsi="Times New Roman" w:cs="Times New Roman"/>
          <w:sz w:val="24"/>
        </w:rPr>
      </w:pPr>
    </w:p>
    <w:p w:rsidR="007611D5" w:rsidRDefault="007611D5" w:rsidP="002D70A4">
      <w:pPr>
        <w:spacing w:after="0"/>
        <w:rPr>
          <w:rFonts w:ascii="Times New Roman" w:hAnsi="Times New Roman" w:cs="Times New Roman"/>
          <w:sz w:val="24"/>
        </w:rPr>
      </w:pPr>
    </w:p>
    <w:p w:rsidR="007611D5" w:rsidRDefault="007611D5" w:rsidP="002D70A4">
      <w:pPr>
        <w:spacing w:after="0"/>
        <w:rPr>
          <w:rFonts w:ascii="Times New Roman" w:hAnsi="Times New Roman" w:cs="Times New Roman"/>
          <w:sz w:val="24"/>
        </w:rPr>
      </w:pPr>
    </w:p>
    <w:p w:rsidR="007611D5" w:rsidRDefault="007611D5" w:rsidP="002D70A4">
      <w:pPr>
        <w:spacing w:after="0"/>
        <w:rPr>
          <w:rFonts w:ascii="Times New Roman" w:hAnsi="Times New Roman" w:cs="Times New Roman"/>
          <w:sz w:val="24"/>
        </w:rPr>
      </w:pPr>
    </w:p>
    <w:p w:rsidR="007611D5" w:rsidRDefault="007611D5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7611D5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……………………………………..</w:t>
      </w:r>
    </w:p>
    <w:p w:rsidR="00D23364" w:rsidRPr="002D70A4" w:rsidRDefault="002D70A4" w:rsidP="002D70A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Od roku 2002 v </w:t>
      </w:r>
      <w:proofErr w:type="spellStart"/>
      <w:r w:rsidRPr="002D70A4">
        <w:rPr>
          <w:rFonts w:ascii="Times New Roman" w:hAnsi="Times New Roman" w:cs="Times New Roman"/>
          <w:sz w:val="24"/>
        </w:rPr>
        <w:t>ZoÚ</w:t>
      </w:r>
      <w:proofErr w:type="spellEnd"/>
      <w:r w:rsidRPr="002D70A4">
        <w:rPr>
          <w:rFonts w:ascii="Times New Roman" w:hAnsi="Times New Roman" w:cs="Times New Roman"/>
          <w:sz w:val="24"/>
        </w:rPr>
        <w:t xml:space="preserve"> uvedeno, že účetní jednotky mohou sestavit účetní závěrku dle IFRS</w:t>
      </w:r>
    </w:p>
    <w:p w:rsidR="00D23364" w:rsidRPr="002D70A4" w:rsidRDefault="007611D5" w:rsidP="002D70A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</w:t>
      </w:r>
      <w:r w:rsidR="002D70A4" w:rsidRPr="002D70A4">
        <w:rPr>
          <w:rFonts w:ascii="Times New Roman" w:hAnsi="Times New Roman" w:cs="Times New Roman"/>
          <w:sz w:val="24"/>
        </w:rPr>
        <w:t xml:space="preserve"> – účetní jednotka má povinnost sestavit konsolidovanou ÚZ dle IFRS upravené EU pokud cenné papíry obchoduje na regulovaných trzích EU</w:t>
      </w:r>
    </w:p>
    <w:p w:rsidR="00D23364" w:rsidRPr="002D70A4" w:rsidRDefault="007611D5" w:rsidP="002D70A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2D70A4" w:rsidRPr="002D70A4">
        <w:rPr>
          <w:rFonts w:ascii="Times New Roman" w:hAnsi="Times New Roman" w:cs="Times New Roman"/>
          <w:sz w:val="24"/>
        </w:rPr>
        <w:t xml:space="preserve"> – rozšířen</w:t>
      </w:r>
      <w:proofErr w:type="gramEnd"/>
      <w:r w:rsidR="002D70A4" w:rsidRPr="002D70A4">
        <w:rPr>
          <w:rFonts w:ascii="Times New Roman" w:hAnsi="Times New Roman" w:cs="Times New Roman"/>
          <w:sz w:val="24"/>
        </w:rPr>
        <w:t xml:space="preserve"> okruh účetních jednotek, které mohou použít IFRS i na separátní účetní závěrku </w:t>
      </w:r>
    </w:p>
    <w:p w:rsidR="002D70A4" w:rsidRP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2D70A4" w:rsidP="002D70A4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Od roku 2018 – možnost vykazovat finanční nástroje dle pravidel IFRS (vazba na IAS 17, IAS 19, IAS 27, IAS 28, IAS 32, IAS 39) 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D23364" w:rsidRPr="002D70A4" w:rsidRDefault="007611D5" w:rsidP="002D70A4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</w:t>
      </w:r>
    </w:p>
    <w:p w:rsidR="00D23364" w:rsidRPr="002D70A4" w:rsidRDefault="002D70A4" w:rsidP="002D70A4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Výsledek hospodaření dle IFRS nelze použít jako základ daně z příjmů </w:t>
      </w:r>
    </w:p>
    <w:p w:rsidR="00D23364" w:rsidRPr="002D70A4" w:rsidRDefault="002D70A4" w:rsidP="002D70A4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ČÚP považují za prvotní zdroj informací nekonsolidovanou účetní závěrku, IFRS konsolidovanou</w:t>
      </w:r>
    </w:p>
    <w:p w:rsidR="00D23364" w:rsidRPr="002D70A4" w:rsidRDefault="007611D5" w:rsidP="002D70A4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………………………………………….</w:t>
      </w:r>
    </w:p>
    <w:p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:rsidR="002D70A4" w:rsidRP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sectPr w:rsidR="002D70A4" w:rsidRPr="002D70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A4" w:rsidRDefault="002D70A4" w:rsidP="002D70A4">
      <w:pPr>
        <w:spacing w:after="0" w:line="240" w:lineRule="auto"/>
      </w:pPr>
      <w:r>
        <w:separator/>
      </w:r>
    </w:p>
  </w:endnote>
  <w:endnote w:type="continuationSeparator" w:id="0">
    <w:p w:rsidR="002D70A4" w:rsidRDefault="002D70A4" w:rsidP="002D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0A4" w:rsidRDefault="002D70A4" w:rsidP="002D70A4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Mezinárodní účetnictví                        1. </w:t>
    </w:r>
    <w:proofErr w:type="gramStart"/>
    <w:r>
      <w:rPr>
        <w:rFonts w:asciiTheme="majorHAnsi" w:hAnsiTheme="majorHAnsi"/>
      </w:rPr>
      <w:t>přednáška                    17</w:t>
    </w:r>
    <w:proofErr w:type="gramEnd"/>
    <w:r>
      <w:rPr>
        <w:rFonts w:asciiTheme="majorHAnsi" w:hAnsiTheme="majorHAnsi"/>
      </w:rPr>
      <w:t>. 2.2022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7611D5" w:rsidRPr="007611D5">
      <w:rPr>
        <w:rFonts w:asciiTheme="majorHAnsi" w:hAnsiTheme="majorHAnsi"/>
        <w:noProof/>
      </w:rPr>
      <w:t>9</w:t>
    </w:r>
    <w:r>
      <w:rPr>
        <w:rFonts w:asciiTheme="majorHAnsi" w:hAnsiTheme="majorHAnsi"/>
        <w:noProof/>
      </w:rPr>
      <w:fldChar w:fldCharType="end"/>
    </w:r>
  </w:p>
  <w:p w:rsidR="002D70A4" w:rsidRDefault="002D70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A4" w:rsidRDefault="002D70A4" w:rsidP="002D70A4">
      <w:pPr>
        <w:spacing w:after="0" w:line="240" w:lineRule="auto"/>
      </w:pPr>
      <w:r>
        <w:separator/>
      </w:r>
    </w:p>
  </w:footnote>
  <w:footnote w:type="continuationSeparator" w:id="0">
    <w:p w:rsidR="002D70A4" w:rsidRDefault="002D70A4" w:rsidP="002D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8A8"/>
    <w:multiLevelType w:val="hybridMultilevel"/>
    <w:tmpl w:val="D3BA26A6"/>
    <w:lvl w:ilvl="0" w:tplc="2780D0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CC0F44">
      <w:start w:val="20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02E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AFA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2DA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AE8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086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03B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A14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3306C"/>
    <w:multiLevelType w:val="hybridMultilevel"/>
    <w:tmpl w:val="A2F2BF9E"/>
    <w:lvl w:ilvl="0" w:tplc="BE1A5E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62F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CC1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A96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8BB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8B1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47E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9002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6C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7650D"/>
    <w:multiLevelType w:val="hybridMultilevel"/>
    <w:tmpl w:val="C7C2DE48"/>
    <w:lvl w:ilvl="0" w:tplc="0C206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D057C2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481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400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24B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071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0F1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4AA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A8F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CB2B4C"/>
    <w:multiLevelType w:val="hybridMultilevel"/>
    <w:tmpl w:val="63A424AE"/>
    <w:lvl w:ilvl="0" w:tplc="A08C92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5A00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E6F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8EA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EDE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ABB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6CF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6C7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411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FA7E90"/>
    <w:multiLevelType w:val="hybridMultilevel"/>
    <w:tmpl w:val="4C62B926"/>
    <w:lvl w:ilvl="0" w:tplc="6D62D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6AF2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058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436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871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ADF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6AC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CCA1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463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1A4973"/>
    <w:multiLevelType w:val="hybridMultilevel"/>
    <w:tmpl w:val="0282B862"/>
    <w:lvl w:ilvl="0" w:tplc="3042DA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CC9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C021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C5A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CDB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03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AF2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459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16ED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552D3D"/>
    <w:multiLevelType w:val="hybridMultilevel"/>
    <w:tmpl w:val="6E0AF8F8"/>
    <w:lvl w:ilvl="0" w:tplc="E774D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CE5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804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8C0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C59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CAB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004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C98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212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0B116B"/>
    <w:multiLevelType w:val="hybridMultilevel"/>
    <w:tmpl w:val="CFEACE3C"/>
    <w:lvl w:ilvl="0" w:tplc="589CB1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897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88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2AF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2863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CB6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C12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27B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A63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BA4685"/>
    <w:multiLevelType w:val="hybridMultilevel"/>
    <w:tmpl w:val="402AF65A"/>
    <w:lvl w:ilvl="0" w:tplc="839A22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2B050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AB1F8">
      <w:start w:val="557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241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F2DA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98A4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674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E3A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46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036A1"/>
    <w:multiLevelType w:val="hybridMultilevel"/>
    <w:tmpl w:val="1A1CF74E"/>
    <w:lvl w:ilvl="0" w:tplc="1714CD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E4538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B675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E59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2E8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E31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87A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A4E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4D7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BB5E69"/>
    <w:multiLevelType w:val="hybridMultilevel"/>
    <w:tmpl w:val="7B969CB0"/>
    <w:lvl w:ilvl="0" w:tplc="780A99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273DC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895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AC4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AAE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05D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018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ED2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C8A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0D6865"/>
    <w:multiLevelType w:val="hybridMultilevel"/>
    <w:tmpl w:val="57A6D4F8"/>
    <w:lvl w:ilvl="0" w:tplc="A43620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C19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236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E8F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4E1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EE7E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C2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64D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CE35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D368A7"/>
    <w:multiLevelType w:val="hybridMultilevel"/>
    <w:tmpl w:val="4934E4E8"/>
    <w:lvl w:ilvl="0" w:tplc="47260B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A6522">
      <w:start w:val="58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0BB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4BF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E0E2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188F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A7B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883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6AA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752289"/>
    <w:multiLevelType w:val="hybridMultilevel"/>
    <w:tmpl w:val="5566BF9A"/>
    <w:lvl w:ilvl="0" w:tplc="0EEA91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4876A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014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AA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E477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E3F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E0C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24A2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F0D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EA5B9F"/>
    <w:multiLevelType w:val="hybridMultilevel"/>
    <w:tmpl w:val="7AD4A59C"/>
    <w:lvl w:ilvl="0" w:tplc="C85266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C3C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C8C3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602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BEF1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2BB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E18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E03D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CD2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1B6EF9"/>
    <w:multiLevelType w:val="hybridMultilevel"/>
    <w:tmpl w:val="46AE13FE"/>
    <w:lvl w:ilvl="0" w:tplc="337431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C33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766F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279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84BD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8A20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EC7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1AA6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2D9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505E74"/>
    <w:multiLevelType w:val="hybridMultilevel"/>
    <w:tmpl w:val="AF3E9330"/>
    <w:lvl w:ilvl="0" w:tplc="3C8E80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20C2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B6DD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08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C4E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84BC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24E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C70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28F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6F7C96"/>
    <w:multiLevelType w:val="hybridMultilevel"/>
    <w:tmpl w:val="C5284526"/>
    <w:lvl w:ilvl="0" w:tplc="343A0B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E74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C68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EB6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5EF2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ECE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A04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400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AAE6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C84044"/>
    <w:multiLevelType w:val="hybridMultilevel"/>
    <w:tmpl w:val="72300EFC"/>
    <w:lvl w:ilvl="0" w:tplc="5114F3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3AC248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0E41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8FC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4AE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098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44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02D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426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DE1D3F"/>
    <w:multiLevelType w:val="hybridMultilevel"/>
    <w:tmpl w:val="870C6504"/>
    <w:lvl w:ilvl="0" w:tplc="A10261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CDB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16A4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643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0E1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80C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A8C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23D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66F0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210566"/>
    <w:multiLevelType w:val="hybridMultilevel"/>
    <w:tmpl w:val="97D08118"/>
    <w:lvl w:ilvl="0" w:tplc="EA3E0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6C1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7234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A56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528C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A61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673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6B3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809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377570"/>
    <w:multiLevelType w:val="hybridMultilevel"/>
    <w:tmpl w:val="43825B14"/>
    <w:lvl w:ilvl="0" w:tplc="A0CAD8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EC52A8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0C7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60B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086C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9CB0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C58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64E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6E46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E696E"/>
    <w:multiLevelType w:val="hybridMultilevel"/>
    <w:tmpl w:val="F38CDE14"/>
    <w:lvl w:ilvl="0" w:tplc="267261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8D6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EA71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6C6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1464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C5C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63E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A13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6E7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440E6E"/>
    <w:multiLevelType w:val="hybridMultilevel"/>
    <w:tmpl w:val="92CC0BA0"/>
    <w:lvl w:ilvl="0" w:tplc="735E72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A440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E0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445B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2874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2ADB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8D1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4CB1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EE7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F0184D"/>
    <w:multiLevelType w:val="hybridMultilevel"/>
    <w:tmpl w:val="EF0C42EE"/>
    <w:lvl w:ilvl="0" w:tplc="1D8A90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341D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C693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452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FAFB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20C4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AF7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A81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632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B92B2D"/>
    <w:multiLevelType w:val="hybridMultilevel"/>
    <w:tmpl w:val="4F721984"/>
    <w:lvl w:ilvl="0" w:tplc="355C7D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2AC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243E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28C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6AF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0FC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49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807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CE9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D85B9A"/>
    <w:multiLevelType w:val="hybridMultilevel"/>
    <w:tmpl w:val="D9D44150"/>
    <w:lvl w:ilvl="0" w:tplc="1DC6B1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65E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E83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214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472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A3A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489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4E3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81C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E26B24"/>
    <w:multiLevelType w:val="hybridMultilevel"/>
    <w:tmpl w:val="3BA80F5C"/>
    <w:lvl w:ilvl="0" w:tplc="88629A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2129E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AD6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AEF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8B3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E09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4EA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6C41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4E0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A52967"/>
    <w:multiLevelType w:val="hybridMultilevel"/>
    <w:tmpl w:val="2D8EF6D2"/>
    <w:lvl w:ilvl="0" w:tplc="7B8E76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EAE4A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A43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C38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67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E06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04B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C27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209F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94272"/>
    <w:multiLevelType w:val="hybridMultilevel"/>
    <w:tmpl w:val="9E944476"/>
    <w:lvl w:ilvl="0" w:tplc="B770B2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6BB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A648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E4D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41C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DCBD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2E1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C3C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432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3503AA"/>
    <w:multiLevelType w:val="hybridMultilevel"/>
    <w:tmpl w:val="96A6D5D0"/>
    <w:lvl w:ilvl="0" w:tplc="3A7024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4880A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81B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EB9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CEA8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C1D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C44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5A32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6B0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5D017A"/>
    <w:multiLevelType w:val="hybridMultilevel"/>
    <w:tmpl w:val="88605180"/>
    <w:lvl w:ilvl="0" w:tplc="31CCE4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A90DE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4C4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A14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8EC9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EE8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09F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C4F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C8B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C173EC"/>
    <w:multiLevelType w:val="hybridMultilevel"/>
    <w:tmpl w:val="05D2869E"/>
    <w:lvl w:ilvl="0" w:tplc="0082DD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60B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2A4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8D4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0C4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892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24F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67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8DA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CD7BD1"/>
    <w:multiLevelType w:val="hybridMultilevel"/>
    <w:tmpl w:val="C1E0668C"/>
    <w:lvl w:ilvl="0" w:tplc="62B2B3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C21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F60B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099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2C0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E0D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6D9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9066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A1B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D95529"/>
    <w:multiLevelType w:val="hybridMultilevel"/>
    <w:tmpl w:val="B7803454"/>
    <w:lvl w:ilvl="0" w:tplc="DC9875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E2FB0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E5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A86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92F8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CBA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423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F4F6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18DB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BD0283"/>
    <w:multiLevelType w:val="hybridMultilevel"/>
    <w:tmpl w:val="FD44D738"/>
    <w:lvl w:ilvl="0" w:tplc="0FFC9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6539C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DABB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2AA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81A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E62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EFE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AE2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EC27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150CC9"/>
    <w:multiLevelType w:val="hybridMultilevel"/>
    <w:tmpl w:val="57F01ADC"/>
    <w:lvl w:ilvl="0" w:tplc="DF5A3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2B5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803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8F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600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A018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0F4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5E27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EE3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0"/>
  </w:num>
  <w:num w:numId="4">
    <w:abstractNumId w:val="31"/>
  </w:num>
  <w:num w:numId="5">
    <w:abstractNumId w:val="17"/>
  </w:num>
  <w:num w:numId="6">
    <w:abstractNumId w:val="13"/>
  </w:num>
  <w:num w:numId="7">
    <w:abstractNumId w:val="7"/>
  </w:num>
  <w:num w:numId="8">
    <w:abstractNumId w:val="8"/>
  </w:num>
  <w:num w:numId="9">
    <w:abstractNumId w:val="5"/>
  </w:num>
  <w:num w:numId="10">
    <w:abstractNumId w:val="22"/>
  </w:num>
  <w:num w:numId="11">
    <w:abstractNumId w:val="36"/>
  </w:num>
  <w:num w:numId="12">
    <w:abstractNumId w:val="23"/>
  </w:num>
  <w:num w:numId="13">
    <w:abstractNumId w:val="1"/>
  </w:num>
  <w:num w:numId="14">
    <w:abstractNumId w:val="9"/>
  </w:num>
  <w:num w:numId="15">
    <w:abstractNumId w:val="34"/>
  </w:num>
  <w:num w:numId="16">
    <w:abstractNumId w:val="2"/>
  </w:num>
  <w:num w:numId="17">
    <w:abstractNumId w:val="3"/>
  </w:num>
  <w:num w:numId="18">
    <w:abstractNumId w:val="20"/>
  </w:num>
  <w:num w:numId="19">
    <w:abstractNumId w:val="11"/>
  </w:num>
  <w:num w:numId="20">
    <w:abstractNumId w:val="12"/>
  </w:num>
  <w:num w:numId="21">
    <w:abstractNumId w:val="28"/>
  </w:num>
  <w:num w:numId="22">
    <w:abstractNumId w:val="21"/>
  </w:num>
  <w:num w:numId="23">
    <w:abstractNumId w:val="27"/>
  </w:num>
  <w:num w:numId="24">
    <w:abstractNumId w:val="4"/>
  </w:num>
  <w:num w:numId="25">
    <w:abstractNumId w:val="35"/>
  </w:num>
  <w:num w:numId="26">
    <w:abstractNumId w:val="24"/>
  </w:num>
  <w:num w:numId="27">
    <w:abstractNumId w:val="29"/>
  </w:num>
  <w:num w:numId="28">
    <w:abstractNumId w:val="14"/>
  </w:num>
  <w:num w:numId="29">
    <w:abstractNumId w:val="15"/>
  </w:num>
  <w:num w:numId="30">
    <w:abstractNumId w:val="18"/>
  </w:num>
  <w:num w:numId="31">
    <w:abstractNumId w:val="16"/>
  </w:num>
  <w:num w:numId="32">
    <w:abstractNumId w:val="26"/>
  </w:num>
  <w:num w:numId="33">
    <w:abstractNumId w:val="32"/>
  </w:num>
  <w:num w:numId="34">
    <w:abstractNumId w:val="33"/>
  </w:num>
  <w:num w:numId="35">
    <w:abstractNumId w:val="19"/>
  </w:num>
  <w:num w:numId="36">
    <w:abstractNumId w:val="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0B"/>
    <w:rsid w:val="002D70A4"/>
    <w:rsid w:val="00543983"/>
    <w:rsid w:val="00746B0B"/>
    <w:rsid w:val="007611D5"/>
    <w:rsid w:val="00BD4F66"/>
    <w:rsid w:val="00CF0E6F"/>
    <w:rsid w:val="00D2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0A4"/>
  </w:style>
  <w:style w:type="paragraph" w:styleId="Zpat">
    <w:name w:val="footer"/>
    <w:basedOn w:val="Normln"/>
    <w:link w:val="ZpatChar"/>
    <w:uiPriority w:val="99"/>
    <w:unhideWhenUsed/>
    <w:rsid w:val="002D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0A4"/>
  </w:style>
  <w:style w:type="paragraph" w:styleId="Zpat">
    <w:name w:val="footer"/>
    <w:basedOn w:val="Normln"/>
    <w:link w:val="ZpatChar"/>
    <w:uiPriority w:val="99"/>
    <w:unhideWhenUsed/>
    <w:rsid w:val="002D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8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7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9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2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33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9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2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9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3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9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2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0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2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06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0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7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5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0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6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5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4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5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5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53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47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4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5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7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6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9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7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5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9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2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6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7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4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4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3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8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2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3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8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1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5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5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0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2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4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1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1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6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5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7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8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2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1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9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9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7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8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0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5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6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1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6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7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5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2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0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71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59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42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9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6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7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908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2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5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C5B0-C74E-4677-84B5-E0454170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1433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</cp:revision>
  <dcterms:created xsi:type="dcterms:W3CDTF">2022-01-23T15:31:00Z</dcterms:created>
  <dcterms:modified xsi:type="dcterms:W3CDTF">2022-01-23T15:38:00Z</dcterms:modified>
</cp:coreProperties>
</file>