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1E8B" w:rsidRDefault="00DB1E8B" w:rsidP="00DB1E8B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Harmonizace účetnictví ve světě </w:t>
      </w:r>
      <w:r>
        <w:rPr>
          <w:rFonts w:ascii="Times New Roman" w:hAnsi="Times New Roman" w:cs="Times New Roman"/>
          <w:sz w:val="24"/>
          <w:szCs w:val="24"/>
        </w:rPr>
        <w:t xml:space="preserve">(opakování z XFU1) </w:t>
      </w:r>
    </w:p>
    <w:p w:rsidR="00DB1E8B" w:rsidRDefault="00DB1E8B" w:rsidP="00DB1E8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00000" w:rsidRPr="004449BB" w:rsidRDefault="004449BB" w:rsidP="004449BB">
      <w:pPr>
        <w:numPr>
          <w:ilvl w:val="0"/>
          <w:numId w:val="11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4449BB">
        <w:rPr>
          <w:rFonts w:ascii="Times New Roman" w:hAnsi="Times New Roman" w:cs="Times New Roman"/>
          <w:b/>
          <w:bCs/>
          <w:sz w:val="24"/>
          <w:szCs w:val="24"/>
        </w:rPr>
        <w:t>Regulace</w:t>
      </w:r>
      <w:r w:rsidRPr="004449BB">
        <w:rPr>
          <w:rFonts w:ascii="Times New Roman" w:hAnsi="Times New Roman" w:cs="Times New Roman"/>
          <w:bCs/>
          <w:sz w:val="24"/>
          <w:szCs w:val="24"/>
        </w:rPr>
        <w:t xml:space="preserve"> – stanovení pravidel pro účetnictví, účetní závěrku …  </w:t>
      </w:r>
    </w:p>
    <w:p w:rsidR="00000000" w:rsidRPr="004449BB" w:rsidRDefault="004449BB" w:rsidP="004449BB">
      <w:pPr>
        <w:numPr>
          <w:ilvl w:val="1"/>
          <w:numId w:val="11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4449BB">
        <w:rPr>
          <w:rFonts w:ascii="Times New Roman" w:hAnsi="Times New Roman" w:cs="Times New Roman"/>
          <w:bCs/>
          <w:sz w:val="24"/>
          <w:szCs w:val="24"/>
        </w:rPr>
        <w:t xml:space="preserve">Právním předpisem </w:t>
      </w:r>
    </w:p>
    <w:p w:rsidR="00000000" w:rsidRPr="004449BB" w:rsidRDefault="004449BB" w:rsidP="004449BB">
      <w:pPr>
        <w:numPr>
          <w:ilvl w:val="1"/>
          <w:numId w:val="11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4449BB">
        <w:rPr>
          <w:rFonts w:ascii="Times New Roman" w:hAnsi="Times New Roman" w:cs="Times New Roman"/>
          <w:bCs/>
          <w:sz w:val="24"/>
          <w:szCs w:val="24"/>
        </w:rPr>
        <w:t xml:space="preserve">Standardem </w:t>
      </w:r>
    </w:p>
    <w:p w:rsidR="00000000" w:rsidRPr="004449BB" w:rsidRDefault="004449BB" w:rsidP="004449BB">
      <w:pPr>
        <w:numPr>
          <w:ilvl w:val="1"/>
          <w:numId w:val="11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4449BB">
        <w:rPr>
          <w:rFonts w:ascii="Times New Roman" w:hAnsi="Times New Roman" w:cs="Times New Roman"/>
          <w:bCs/>
          <w:sz w:val="24"/>
          <w:szCs w:val="24"/>
        </w:rPr>
        <w:t xml:space="preserve">Kombinací právního předpisu a standardu </w:t>
      </w:r>
    </w:p>
    <w:p w:rsidR="00000000" w:rsidRPr="004449BB" w:rsidRDefault="004449BB" w:rsidP="004449BB">
      <w:pPr>
        <w:numPr>
          <w:ilvl w:val="0"/>
          <w:numId w:val="11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4449BB">
        <w:rPr>
          <w:rFonts w:ascii="Times New Roman" w:hAnsi="Times New Roman" w:cs="Times New Roman"/>
          <w:b/>
          <w:bCs/>
          <w:sz w:val="24"/>
          <w:szCs w:val="24"/>
        </w:rPr>
        <w:t>Harmonizace</w:t>
      </w:r>
      <w:r w:rsidRPr="004449BB">
        <w:rPr>
          <w:rFonts w:ascii="Times New Roman" w:hAnsi="Times New Roman" w:cs="Times New Roman"/>
          <w:bCs/>
          <w:sz w:val="24"/>
          <w:szCs w:val="24"/>
        </w:rPr>
        <w:t xml:space="preserve"> – odstraňování rozdílů mezi jednotlivými způsoby regulace </w:t>
      </w:r>
    </w:p>
    <w:p w:rsidR="00000000" w:rsidRPr="004449BB" w:rsidRDefault="004449BB" w:rsidP="004449BB">
      <w:pPr>
        <w:numPr>
          <w:ilvl w:val="0"/>
          <w:numId w:val="11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4449BB">
        <w:rPr>
          <w:rFonts w:ascii="Times New Roman" w:hAnsi="Times New Roman" w:cs="Times New Roman"/>
          <w:b/>
          <w:bCs/>
          <w:sz w:val="24"/>
          <w:szCs w:val="24"/>
        </w:rPr>
        <w:t>Standardizace</w:t>
      </w:r>
      <w:r w:rsidRPr="004449BB">
        <w:rPr>
          <w:rFonts w:ascii="Times New Roman" w:hAnsi="Times New Roman" w:cs="Times New Roman"/>
          <w:bCs/>
          <w:sz w:val="24"/>
          <w:szCs w:val="24"/>
        </w:rPr>
        <w:t xml:space="preserve"> – prohloubení harmon</w:t>
      </w:r>
      <w:r w:rsidRPr="004449BB">
        <w:rPr>
          <w:rFonts w:ascii="Times New Roman" w:hAnsi="Times New Roman" w:cs="Times New Roman"/>
          <w:bCs/>
          <w:sz w:val="24"/>
          <w:szCs w:val="24"/>
        </w:rPr>
        <w:t xml:space="preserve">izace </w:t>
      </w:r>
    </w:p>
    <w:p w:rsidR="00DB1E8B" w:rsidRDefault="00DB1E8B" w:rsidP="00DB1E8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1E8B" w:rsidRDefault="00DB1E8B" w:rsidP="00DB1E8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00000" w:rsidRPr="004449BB" w:rsidRDefault="004449BB" w:rsidP="004449BB">
      <w:pPr>
        <w:numPr>
          <w:ilvl w:val="0"/>
          <w:numId w:val="12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4449BB">
        <w:rPr>
          <w:rFonts w:ascii="Times New Roman" w:hAnsi="Times New Roman" w:cs="Times New Roman"/>
          <w:b/>
          <w:bCs/>
          <w:sz w:val="24"/>
          <w:szCs w:val="24"/>
        </w:rPr>
        <w:t xml:space="preserve">Anglosaský model  </w:t>
      </w:r>
    </w:p>
    <w:p w:rsidR="00000000" w:rsidRPr="004449BB" w:rsidRDefault="004449BB" w:rsidP="004449BB">
      <w:pPr>
        <w:numPr>
          <w:ilvl w:val="1"/>
          <w:numId w:val="12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4449BB">
        <w:rPr>
          <w:rFonts w:ascii="Times New Roman" w:hAnsi="Times New Roman" w:cs="Times New Roman"/>
          <w:bCs/>
          <w:sz w:val="24"/>
          <w:szCs w:val="24"/>
        </w:rPr>
        <w:t xml:space="preserve">typické pro země s velkým peněžním a kapitálovým trhem, </w:t>
      </w:r>
    </w:p>
    <w:p w:rsidR="00000000" w:rsidRPr="004449BB" w:rsidRDefault="004449BB" w:rsidP="004449BB">
      <w:pPr>
        <w:numPr>
          <w:ilvl w:val="1"/>
          <w:numId w:val="12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4449BB">
        <w:rPr>
          <w:rFonts w:ascii="Times New Roman" w:hAnsi="Times New Roman" w:cs="Times New Roman"/>
          <w:bCs/>
          <w:sz w:val="24"/>
          <w:szCs w:val="24"/>
        </w:rPr>
        <w:t>účetnictví je zaměřeno na externí uživatele,</w:t>
      </w:r>
    </w:p>
    <w:p w:rsidR="00000000" w:rsidRPr="004449BB" w:rsidRDefault="004449BB" w:rsidP="004449BB">
      <w:pPr>
        <w:numPr>
          <w:ilvl w:val="1"/>
          <w:numId w:val="12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4449BB">
        <w:rPr>
          <w:rFonts w:ascii="Times New Roman" w:hAnsi="Times New Roman" w:cs="Times New Roman"/>
          <w:bCs/>
          <w:sz w:val="24"/>
          <w:szCs w:val="24"/>
        </w:rPr>
        <w:t xml:space="preserve"> způsoby účtování jsou usměrňovány profesními organizacemi  </w:t>
      </w:r>
    </w:p>
    <w:p w:rsidR="00000000" w:rsidRPr="004449BB" w:rsidRDefault="004449BB" w:rsidP="004449BB">
      <w:pPr>
        <w:numPr>
          <w:ilvl w:val="1"/>
          <w:numId w:val="12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4449BB">
        <w:rPr>
          <w:rFonts w:ascii="Times New Roman" w:hAnsi="Times New Roman" w:cs="Times New Roman"/>
          <w:bCs/>
          <w:sz w:val="24"/>
          <w:szCs w:val="24"/>
        </w:rPr>
        <w:t xml:space="preserve">Velká Británie, USA, Nizozemsko </w:t>
      </w:r>
    </w:p>
    <w:p w:rsidR="00DB1E8B" w:rsidRDefault="00DB1E8B" w:rsidP="00DB1E8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00000" w:rsidRPr="004449BB" w:rsidRDefault="004449BB" w:rsidP="004449BB">
      <w:pPr>
        <w:numPr>
          <w:ilvl w:val="0"/>
          <w:numId w:val="13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4449BB">
        <w:rPr>
          <w:rFonts w:ascii="Times New Roman" w:hAnsi="Times New Roman" w:cs="Times New Roman"/>
          <w:bCs/>
          <w:sz w:val="24"/>
          <w:szCs w:val="24"/>
        </w:rPr>
        <w:t xml:space="preserve">Kontinentální (Evropský) model  </w:t>
      </w:r>
    </w:p>
    <w:p w:rsidR="00000000" w:rsidRPr="004449BB" w:rsidRDefault="004449BB" w:rsidP="004449BB">
      <w:pPr>
        <w:numPr>
          <w:ilvl w:val="1"/>
          <w:numId w:val="13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4449BB">
        <w:rPr>
          <w:rFonts w:ascii="Times New Roman" w:hAnsi="Times New Roman" w:cs="Times New Roman"/>
          <w:bCs/>
          <w:sz w:val="24"/>
          <w:szCs w:val="24"/>
        </w:rPr>
        <w:t xml:space="preserve">Úzká vazba mezi účetním a daňovým systémem </w:t>
      </w:r>
    </w:p>
    <w:p w:rsidR="00000000" w:rsidRPr="004449BB" w:rsidRDefault="004449BB" w:rsidP="004449BB">
      <w:pPr>
        <w:numPr>
          <w:ilvl w:val="1"/>
          <w:numId w:val="13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4449BB">
        <w:rPr>
          <w:rFonts w:ascii="Times New Roman" w:hAnsi="Times New Roman" w:cs="Times New Roman"/>
          <w:bCs/>
          <w:sz w:val="24"/>
          <w:szCs w:val="24"/>
        </w:rPr>
        <w:t xml:space="preserve">Účetnictví je regulováno právními normami </w:t>
      </w:r>
    </w:p>
    <w:p w:rsidR="00000000" w:rsidRPr="004449BB" w:rsidRDefault="004449BB" w:rsidP="004449BB">
      <w:pPr>
        <w:numPr>
          <w:ilvl w:val="1"/>
          <w:numId w:val="13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4449BB">
        <w:rPr>
          <w:rFonts w:ascii="Times New Roman" w:hAnsi="Times New Roman" w:cs="Times New Roman"/>
          <w:bCs/>
          <w:sz w:val="24"/>
          <w:szCs w:val="24"/>
        </w:rPr>
        <w:t xml:space="preserve">Evropa, Japonsko, Francouzsky mluvící africké země </w:t>
      </w:r>
    </w:p>
    <w:p w:rsidR="00DB1E8B" w:rsidRPr="004449BB" w:rsidRDefault="00DB1E8B" w:rsidP="00DB1E8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00000" w:rsidRPr="004449BB" w:rsidRDefault="004449BB" w:rsidP="004449BB">
      <w:pPr>
        <w:numPr>
          <w:ilvl w:val="0"/>
          <w:numId w:val="14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4449BB">
        <w:rPr>
          <w:rFonts w:ascii="Times New Roman" w:hAnsi="Times New Roman" w:cs="Times New Roman"/>
          <w:bCs/>
          <w:sz w:val="24"/>
          <w:szCs w:val="24"/>
        </w:rPr>
        <w:t xml:space="preserve">Jihoamerický model </w:t>
      </w:r>
    </w:p>
    <w:p w:rsidR="00000000" w:rsidRPr="004449BB" w:rsidRDefault="004449BB" w:rsidP="004449BB">
      <w:pPr>
        <w:numPr>
          <w:ilvl w:val="1"/>
          <w:numId w:val="14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4449BB">
        <w:rPr>
          <w:rFonts w:ascii="Times New Roman" w:hAnsi="Times New Roman" w:cs="Times New Roman"/>
          <w:bCs/>
          <w:sz w:val="24"/>
          <w:szCs w:val="24"/>
        </w:rPr>
        <w:t xml:space="preserve">Inflační účetnictví </w:t>
      </w:r>
    </w:p>
    <w:p w:rsidR="00000000" w:rsidRPr="004449BB" w:rsidRDefault="004449BB" w:rsidP="004449BB">
      <w:pPr>
        <w:numPr>
          <w:ilvl w:val="1"/>
          <w:numId w:val="14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4449BB">
        <w:rPr>
          <w:rFonts w:ascii="Times New Roman" w:hAnsi="Times New Roman" w:cs="Times New Roman"/>
          <w:bCs/>
          <w:sz w:val="24"/>
          <w:szCs w:val="24"/>
        </w:rPr>
        <w:t xml:space="preserve">Účetnictví </w:t>
      </w:r>
      <w:r w:rsidRPr="004449BB">
        <w:rPr>
          <w:rFonts w:ascii="Times New Roman" w:hAnsi="Times New Roman" w:cs="Times New Roman"/>
          <w:bCs/>
          <w:sz w:val="24"/>
          <w:szCs w:val="24"/>
        </w:rPr>
        <w:t xml:space="preserve">je zaměřeno na potřeby vlády a daňových orgánů </w:t>
      </w:r>
    </w:p>
    <w:p w:rsidR="00000000" w:rsidRPr="004449BB" w:rsidRDefault="004449BB" w:rsidP="004449BB">
      <w:pPr>
        <w:numPr>
          <w:ilvl w:val="0"/>
          <w:numId w:val="14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4449BB">
        <w:rPr>
          <w:rFonts w:ascii="Times New Roman" w:hAnsi="Times New Roman" w:cs="Times New Roman"/>
          <w:bCs/>
          <w:sz w:val="24"/>
          <w:szCs w:val="24"/>
        </w:rPr>
        <w:t xml:space="preserve">Smíšený model </w:t>
      </w:r>
    </w:p>
    <w:p w:rsidR="00000000" w:rsidRPr="004449BB" w:rsidRDefault="004449BB" w:rsidP="004449BB">
      <w:pPr>
        <w:numPr>
          <w:ilvl w:val="1"/>
          <w:numId w:val="14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4449BB">
        <w:rPr>
          <w:rFonts w:ascii="Times New Roman" w:hAnsi="Times New Roman" w:cs="Times New Roman"/>
          <w:bCs/>
          <w:sz w:val="24"/>
          <w:szCs w:val="24"/>
        </w:rPr>
        <w:t xml:space="preserve">Zohledňuje přechod od centrálně řízené ekonomice k tržní </w:t>
      </w:r>
    </w:p>
    <w:p w:rsidR="00000000" w:rsidRPr="004449BB" w:rsidRDefault="004449BB" w:rsidP="004449BB">
      <w:pPr>
        <w:numPr>
          <w:ilvl w:val="1"/>
          <w:numId w:val="14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4449BB">
        <w:rPr>
          <w:rFonts w:ascii="Times New Roman" w:hAnsi="Times New Roman" w:cs="Times New Roman"/>
          <w:bCs/>
          <w:sz w:val="24"/>
          <w:szCs w:val="24"/>
        </w:rPr>
        <w:t xml:space="preserve">V zemích bývalého Sovětského svazu </w:t>
      </w:r>
    </w:p>
    <w:p w:rsidR="00DB1E8B" w:rsidRDefault="00DB1E8B" w:rsidP="00DB1E8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1E8B" w:rsidRDefault="00DB1E8B" w:rsidP="00DB1E8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Direktivy EU </w:t>
      </w:r>
    </w:p>
    <w:p w:rsidR="00000000" w:rsidRPr="004449BB" w:rsidRDefault="004449BB" w:rsidP="004449BB">
      <w:pPr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449BB">
        <w:rPr>
          <w:rFonts w:ascii="Times New Roman" w:hAnsi="Times New Roman" w:cs="Times New Roman"/>
          <w:sz w:val="24"/>
          <w:szCs w:val="24"/>
        </w:rPr>
        <w:t>vydávány v letech 1968-1989 =&gt; zastaralé, přežité, neuznává je žádná světová burza</w:t>
      </w:r>
    </w:p>
    <w:p w:rsidR="00000000" w:rsidRPr="004449BB" w:rsidRDefault="004449BB" w:rsidP="004449BB">
      <w:pPr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449BB">
        <w:rPr>
          <w:rFonts w:ascii="Times New Roman" w:hAnsi="Times New Roman" w:cs="Times New Roman"/>
          <w:b/>
          <w:bCs/>
          <w:sz w:val="24"/>
          <w:szCs w:val="24"/>
        </w:rPr>
        <w:t>4.direktiva</w:t>
      </w:r>
      <w:r w:rsidRPr="004449BB">
        <w:rPr>
          <w:rFonts w:ascii="Times New Roman" w:hAnsi="Times New Roman" w:cs="Times New Roman"/>
          <w:sz w:val="24"/>
          <w:szCs w:val="24"/>
        </w:rPr>
        <w:t xml:space="preserve"> (1978) – stanovení pravidel pro účetní závěrky a výroční zprávy </w:t>
      </w:r>
    </w:p>
    <w:p w:rsidR="00000000" w:rsidRPr="004449BB" w:rsidRDefault="004449BB" w:rsidP="004449BB">
      <w:pPr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449BB">
        <w:rPr>
          <w:rFonts w:ascii="Times New Roman" w:hAnsi="Times New Roman" w:cs="Times New Roman"/>
          <w:b/>
          <w:bCs/>
          <w:sz w:val="24"/>
          <w:szCs w:val="24"/>
        </w:rPr>
        <w:t>7.direktiva</w:t>
      </w:r>
      <w:r w:rsidRPr="004449BB">
        <w:rPr>
          <w:rFonts w:ascii="Times New Roman" w:hAnsi="Times New Roman" w:cs="Times New Roman"/>
          <w:sz w:val="24"/>
          <w:szCs w:val="24"/>
        </w:rPr>
        <w:t xml:space="preserve"> (1983) – konsolidace </w:t>
      </w:r>
    </w:p>
    <w:p w:rsidR="004449BB" w:rsidRPr="004449BB" w:rsidRDefault="004449BB" w:rsidP="004449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49BB">
        <w:rPr>
          <w:rFonts w:ascii="Times New Roman" w:hAnsi="Times New Roman" w:cs="Times New Roman"/>
          <w:sz w:val="24"/>
          <w:szCs w:val="24"/>
        </w:rPr>
        <w:t>Nová strategie harmonizace účetnictví (1995)</w:t>
      </w:r>
    </w:p>
    <w:p w:rsidR="004449BB" w:rsidRPr="004449BB" w:rsidRDefault="004449BB" w:rsidP="004449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49BB">
        <w:rPr>
          <w:rFonts w:ascii="Times New Roman" w:hAnsi="Times New Roman" w:cs="Times New Roman"/>
          <w:sz w:val="24"/>
          <w:szCs w:val="24"/>
        </w:rPr>
        <w:t>Strategii finančního výkaznictví EU: cesta vpřed – nařízení o uplatňování IFRS (od r. 2005)</w:t>
      </w:r>
    </w:p>
    <w:p w:rsidR="004449BB" w:rsidRPr="004449BB" w:rsidRDefault="004449BB" w:rsidP="004449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49BB">
        <w:rPr>
          <w:rFonts w:ascii="Times New Roman" w:hAnsi="Times New Roman" w:cs="Times New Roman"/>
          <w:sz w:val="24"/>
          <w:szCs w:val="24"/>
        </w:rPr>
        <w:t xml:space="preserve">Transpozice směrnice Evropského parlamentu a Rady 2013/34/EU – zrušení Čtvrté a Sedmé směrnice </w:t>
      </w:r>
    </w:p>
    <w:p w:rsidR="00DB1E8B" w:rsidRDefault="00DB1E8B" w:rsidP="00DB1E8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1E8B" w:rsidRDefault="00DB1E8B" w:rsidP="00DB1E8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1E8B" w:rsidRDefault="00DB1E8B" w:rsidP="00DB1E8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1E8B" w:rsidRDefault="00DB1E8B" w:rsidP="00DB1E8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1E8B" w:rsidRDefault="00DB1E8B" w:rsidP="00DB1E8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49BB" w:rsidRDefault="004449BB" w:rsidP="00DB1E8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1E8B" w:rsidRDefault="00DB1E8B" w:rsidP="00DB1E8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1E8B" w:rsidRDefault="00DB1E8B" w:rsidP="00DB1E8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1E8B" w:rsidRDefault="00DB1E8B" w:rsidP="00DB1E8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IFRS </w:t>
      </w:r>
    </w:p>
    <w:p w:rsidR="00000000" w:rsidRPr="004449BB" w:rsidRDefault="004449BB" w:rsidP="004449BB">
      <w:pPr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449BB">
        <w:rPr>
          <w:rFonts w:ascii="Times New Roman" w:hAnsi="Times New Roman" w:cs="Times New Roman"/>
          <w:sz w:val="24"/>
          <w:szCs w:val="24"/>
        </w:rPr>
        <w:t xml:space="preserve">Vysoce kvalitní účetní pravidla </w:t>
      </w:r>
    </w:p>
    <w:p w:rsidR="00000000" w:rsidRPr="004449BB" w:rsidRDefault="004449BB" w:rsidP="004449BB">
      <w:pPr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449BB">
        <w:rPr>
          <w:rFonts w:ascii="Times New Roman" w:hAnsi="Times New Roman" w:cs="Times New Roman"/>
          <w:sz w:val="24"/>
          <w:szCs w:val="24"/>
        </w:rPr>
        <w:t>Mají mnohaletou tradici</w:t>
      </w:r>
    </w:p>
    <w:p w:rsidR="00000000" w:rsidRPr="004449BB" w:rsidRDefault="004449BB" w:rsidP="004449BB">
      <w:pPr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449BB">
        <w:rPr>
          <w:rFonts w:ascii="Times New Roman" w:hAnsi="Times New Roman" w:cs="Times New Roman"/>
          <w:sz w:val="24"/>
          <w:szCs w:val="24"/>
        </w:rPr>
        <w:t>Soubor IFRS zahrnuje:</w:t>
      </w:r>
    </w:p>
    <w:p w:rsidR="00000000" w:rsidRPr="004449BB" w:rsidRDefault="004449BB" w:rsidP="004449BB">
      <w:pPr>
        <w:numPr>
          <w:ilvl w:val="1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449BB">
        <w:rPr>
          <w:rFonts w:ascii="Times New Roman" w:hAnsi="Times New Roman" w:cs="Times New Roman"/>
          <w:sz w:val="24"/>
          <w:szCs w:val="24"/>
        </w:rPr>
        <w:t>Úvod a předmluvu</w:t>
      </w:r>
    </w:p>
    <w:p w:rsidR="00000000" w:rsidRPr="004449BB" w:rsidRDefault="004449BB" w:rsidP="004449BB">
      <w:pPr>
        <w:numPr>
          <w:ilvl w:val="1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449BB">
        <w:rPr>
          <w:rFonts w:ascii="Times New Roman" w:hAnsi="Times New Roman" w:cs="Times New Roman"/>
          <w:sz w:val="24"/>
          <w:szCs w:val="24"/>
        </w:rPr>
        <w:t xml:space="preserve">Koncepční rámec </w:t>
      </w:r>
    </w:p>
    <w:p w:rsidR="00000000" w:rsidRPr="004449BB" w:rsidRDefault="004449BB" w:rsidP="004449BB">
      <w:pPr>
        <w:numPr>
          <w:ilvl w:val="1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449BB">
        <w:rPr>
          <w:rFonts w:ascii="Times New Roman" w:hAnsi="Times New Roman" w:cs="Times New Roman"/>
          <w:sz w:val="24"/>
          <w:szCs w:val="24"/>
        </w:rPr>
        <w:t>Účetní standardy IAS, IFRS</w:t>
      </w:r>
    </w:p>
    <w:p w:rsidR="00000000" w:rsidRPr="004449BB" w:rsidRDefault="004449BB" w:rsidP="004449BB">
      <w:pPr>
        <w:numPr>
          <w:ilvl w:val="1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449BB">
        <w:rPr>
          <w:rFonts w:ascii="Times New Roman" w:hAnsi="Times New Roman" w:cs="Times New Roman"/>
          <w:sz w:val="24"/>
          <w:szCs w:val="24"/>
        </w:rPr>
        <w:t>Interpretace SIC, IFRIC</w:t>
      </w:r>
    </w:p>
    <w:p w:rsidR="00000000" w:rsidRPr="004449BB" w:rsidRDefault="004449BB" w:rsidP="004449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49BB">
        <w:rPr>
          <w:rFonts w:ascii="Times New Roman" w:hAnsi="Times New Roman" w:cs="Times New Roman"/>
          <w:sz w:val="24"/>
          <w:szCs w:val="24"/>
        </w:rPr>
        <w:t>Smyslem je prosazení jednotné formy při sestavování a prezentaci úče</w:t>
      </w:r>
      <w:r w:rsidRPr="004449BB">
        <w:rPr>
          <w:rFonts w:ascii="Times New Roman" w:hAnsi="Times New Roman" w:cs="Times New Roman"/>
          <w:sz w:val="24"/>
          <w:szCs w:val="24"/>
        </w:rPr>
        <w:t xml:space="preserve">tních výkazů, než striktní stanovení účtování =&gt; cílem je harmonizovat </w:t>
      </w:r>
      <w:r w:rsidRPr="004449BB">
        <w:rPr>
          <w:rFonts w:ascii="Times New Roman" w:hAnsi="Times New Roman" w:cs="Times New Roman"/>
          <w:b/>
          <w:bCs/>
          <w:sz w:val="24"/>
          <w:szCs w:val="24"/>
        </w:rPr>
        <w:t>výkaznictv</w:t>
      </w:r>
      <w:r w:rsidRPr="004449BB">
        <w:rPr>
          <w:rFonts w:ascii="Times New Roman" w:hAnsi="Times New Roman" w:cs="Times New Roman"/>
          <w:sz w:val="24"/>
          <w:szCs w:val="24"/>
        </w:rPr>
        <w:t xml:space="preserve">í, nikoliv účtování </w:t>
      </w:r>
    </w:p>
    <w:p w:rsidR="00DB1E8B" w:rsidRDefault="00DB1E8B" w:rsidP="00DB1E8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1E8B" w:rsidRDefault="00DB1E8B" w:rsidP="00DB1E8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Koncepční rámec IFRS </w:t>
      </w:r>
    </w:p>
    <w:p w:rsidR="00000000" w:rsidRPr="004449BB" w:rsidRDefault="004449BB" w:rsidP="004449BB">
      <w:pPr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449BB">
        <w:rPr>
          <w:rFonts w:ascii="Times New Roman" w:hAnsi="Times New Roman" w:cs="Times New Roman"/>
          <w:sz w:val="24"/>
          <w:szCs w:val="24"/>
        </w:rPr>
        <w:t xml:space="preserve">Není účetním standardem </w:t>
      </w:r>
    </w:p>
    <w:p w:rsidR="00000000" w:rsidRPr="004449BB" w:rsidRDefault="004449BB" w:rsidP="004449BB">
      <w:pPr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449BB">
        <w:rPr>
          <w:rFonts w:ascii="Times New Roman" w:hAnsi="Times New Roman" w:cs="Times New Roman"/>
          <w:sz w:val="24"/>
          <w:szCs w:val="24"/>
        </w:rPr>
        <w:t>Účel a cí</w:t>
      </w:r>
      <w:r w:rsidRPr="004449BB">
        <w:rPr>
          <w:rFonts w:ascii="Times New Roman" w:hAnsi="Times New Roman" w:cs="Times New Roman"/>
          <w:sz w:val="24"/>
          <w:szCs w:val="24"/>
        </w:rPr>
        <w:t xml:space="preserve">l koncepčního rámce </w:t>
      </w:r>
    </w:p>
    <w:p w:rsidR="00000000" w:rsidRPr="004449BB" w:rsidRDefault="004449BB" w:rsidP="004449BB">
      <w:pPr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449BB">
        <w:rPr>
          <w:rFonts w:ascii="Times New Roman" w:hAnsi="Times New Roman" w:cs="Times New Roman"/>
          <w:sz w:val="24"/>
          <w:szCs w:val="24"/>
        </w:rPr>
        <w:t xml:space="preserve">Je východiskem pro sestavování účetní závěrky </w:t>
      </w:r>
    </w:p>
    <w:p w:rsidR="00000000" w:rsidRPr="004449BB" w:rsidRDefault="004449BB" w:rsidP="004449BB">
      <w:pPr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449BB">
        <w:rPr>
          <w:rFonts w:ascii="Times New Roman" w:hAnsi="Times New Roman" w:cs="Times New Roman"/>
          <w:sz w:val="24"/>
          <w:szCs w:val="24"/>
        </w:rPr>
        <w:t>Výkazy informují o finanční pozici, výkonnosti a změnách</w:t>
      </w:r>
      <w:r w:rsidRPr="004449BB">
        <w:rPr>
          <w:rFonts w:ascii="Times New Roman" w:hAnsi="Times New Roman" w:cs="Times New Roman"/>
          <w:sz w:val="24"/>
          <w:szCs w:val="24"/>
        </w:rPr>
        <w:t xml:space="preserve"> ve finanční pozici </w:t>
      </w:r>
    </w:p>
    <w:p w:rsidR="00000000" w:rsidRPr="004449BB" w:rsidRDefault="004449BB" w:rsidP="004449BB">
      <w:pPr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449BB">
        <w:rPr>
          <w:rFonts w:ascii="Times New Roman" w:hAnsi="Times New Roman" w:cs="Times New Roman"/>
          <w:sz w:val="24"/>
          <w:szCs w:val="24"/>
        </w:rPr>
        <w:t xml:space="preserve">Základní </w:t>
      </w:r>
      <w:r w:rsidRPr="004449BB">
        <w:rPr>
          <w:rFonts w:ascii="Times New Roman" w:hAnsi="Times New Roman" w:cs="Times New Roman"/>
          <w:b/>
          <w:bCs/>
          <w:sz w:val="24"/>
          <w:szCs w:val="24"/>
        </w:rPr>
        <w:t>prvky účetní závěrky</w:t>
      </w:r>
      <w:r w:rsidRPr="004449BB">
        <w:rPr>
          <w:rFonts w:ascii="Times New Roman" w:hAnsi="Times New Roman" w:cs="Times New Roman"/>
          <w:sz w:val="24"/>
          <w:szCs w:val="24"/>
        </w:rPr>
        <w:t>: aktiv</w:t>
      </w:r>
      <w:r w:rsidRPr="004449BB">
        <w:rPr>
          <w:rFonts w:ascii="Times New Roman" w:hAnsi="Times New Roman" w:cs="Times New Roman"/>
          <w:sz w:val="24"/>
          <w:szCs w:val="24"/>
        </w:rPr>
        <w:t xml:space="preserve">a, závazky, vlastní kapitál, náklady, výnosy </w:t>
      </w:r>
    </w:p>
    <w:p w:rsidR="00000000" w:rsidRPr="004449BB" w:rsidRDefault="004449BB" w:rsidP="004449BB">
      <w:pPr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449BB">
        <w:rPr>
          <w:rFonts w:ascii="Times New Roman" w:hAnsi="Times New Roman" w:cs="Times New Roman"/>
          <w:sz w:val="24"/>
          <w:szCs w:val="24"/>
        </w:rPr>
        <w:t xml:space="preserve">Oceňování </w:t>
      </w:r>
    </w:p>
    <w:p w:rsidR="00DB1E8B" w:rsidRDefault="00DB1E8B" w:rsidP="00DB1E8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1E8B" w:rsidRDefault="00DB1E8B" w:rsidP="00DB1E8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1E8B" w:rsidRDefault="00DB1E8B" w:rsidP="00DB1E8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 GAAP </w:t>
      </w:r>
    </w:p>
    <w:p w:rsidR="00000000" w:rsidRPr="004449BB" w:rsidRDefault="004449BB" w:rsidP="004449BB">
      <w:pPr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449BB">
        <w:rPr>
          <w:rFonts w:ascii="Times New Roman" w:hAnsi="Times New Roman" w:cs="Times New Roman"/>
          <w:sz w:val="24"/>
          <w:szCs w:val="24"/>
        </w:rPr>
        <w:t>GAAP = GENERALLY ACCEPTED ACCOUNTING PRINCIPLES</w:t>
      </w:r>
    </w:p>
    <w:p w:rsidR="00000000" w:rsidRPr="004449BB" w:rsidRDefault="004449BB" w:rsidP="004449BB">
      <w:pPr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449BB">
        <w:rPr>
          <w:rFonts w:ascii="Times New Roman" w:hAnsi="Times New Roman" w:cs="Times New Roman"/>
          <w:sz w:val="24"/>
          <w:szCs w:val="24"/>
        </w:rPr>
        <w:t>začaly se vydávat ve 30. letech min. století, vznikly jako přímý důsledek krachu na newyorské burze</w:t>
      </w:r>
    </w:p>
    <w:p w:rsidR="00000000" w:rsidRPr="004449BB" w:rsidRDefault="004449BB" w:rsidP="004449BB">
      <w:pPr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449BB">
        <w:rPr>
          <w:rFonts w:ascii="Times New Roman" w:hAnsi="Times New Roman" w:cs="Times New Roman"/>
          <w:sz w:val="24"/>
          <w:szCs w:val="24"/>
        </w:rPr>
        <w:t>představují nejucelenější a nejvypracovaně</w:t>
      </w:r>
      <w:r w:rsidRPr="004449BB">
        <w:rPr>
          <w:rFonts w:ascii="Times New Roman" w:hAnsi="Times New Roman" w:cs="Times New Roman"/>
          <w:sz w:val="24"/>
          <w:szCs w:val="24"/>
        </w:rPr>
        <w:t>jší soubor požadavků na obsah, formu a zveřejňování účetních závěrek</w:t>
      </w:r>
    </w:p>
    <w:p w:rsidR="00000000" w:rsidRPr="004449BB" w:rsidRDefault="004449BB" w:rsidP="004449BB">
      <w:pPr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449BB">
        <w:rPr>
          <w:rFonts w:ascii="Times New Roman" w:hAnsi="Times New Roman" w:cs="Times New Roman"/>
          <w:sz w:val="24"/>
          <w:szCs w:val="24"/>
        </w:rPr>
        <w:t xml:space="preserve">nejúplnější systém regulace účetnictví </w:t>
      </w:r>
    </w:p>
    <w:p w:rsidR="00DB1E8B" w:rsidRDefault="00DB1E8B" w:rsidP="00DB1E8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00000" w:rsidRPr="004449BB" w:rsidRDefault="004449BB" w:rsidP="004449BB">
      <w:pPr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449BB">
        <w:rPr>
          <w:rFonts w:ascii="Times New Roman" w:hAnsi="Times New Roman" w:cs="Times New Roman"/>
          <w:sz w:val="24"/>
          <w:szCs w:val="24"/>
        </w:rPr>
        <w:t>US GAAP zahrnují:</w:t>
      </w:r>
    </w:p>
    <w:p w:rsidR="00000000" w:rsidRPr="004449BB" w:rsidRDefault="004449BB" w:rsidP="004449BB">
      <w:pPr>
        <w:numPr>
          <w:ilvl w:val="1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449BB">
        <w:rPr>
          <w:rFonts w:ascii="Times New Roman" w:hAnsi="Times New Roman" w:cs="Times New Roman"/>
          <w:sz w:val="24"/>
          <w:szCs w:val="24"/>
        </w:rPr>
        <w:t>Koncepční rámec finančního výkaznictví – SFAC</w:t>
      </w:r>
    </w:p>
    <w:p w:rsidR="00000000" w:rsidRPr="004449BB" w:rsidRDefault="004449BB" w:rsidP="004449BB">
      <w:pPr>
        <w:numPr>
          <w:ilvl w:val="1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449BB">
        <w:rPr>
          <w:rFonts w:ascii="Times New Roman" w:hAnsi="Times New Roman" w:cs="Times New Roman"/>
          <w:sz w:val="24"/>
          <w:szCs w:val="24"/>
        </w:rPr>
        <w:t xml:space="preserve">Účetní standardy – SFAS </w:t>
      </w:r>
    </w:p>
    <w:p w:rsidR="00000000" w:rsidRPr="004449BB" w:rsidRDefault="004449BB" w:rsidP="004449BB">
      <w:pPr>
        <w:numPr>
          <w:ilvl w:val="1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449BB">
        <w:rPr>
          <w:rFonts w:ascii="Times New Roman" w:hAnsi="Times New Roman" w:cs="Times New Roman"/>
          <w:sz w:val="24"/>
          <w:szCs w:val="24"/>
        </w:rPr>
        <w:t xml:space="preserve">Interpretace účetních standardů – FIN </w:t>
      </w:r>
    </w:p>
    <w:p w:rsidR="00000000" w:rsidRPr="004449BB" w:rsidRDefault="004449BB" w:rsidP="004449BB">
      <w:pPr>
        <w:numPr>
          <w:ilvl w:val="1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449BB">
        <w:rPr>
          <w:rFonts w:ascii="Times New Roman" w:hAnsi="Times New Roman" w:cs="Times New Roman"/>
          <w:sz w:val="24"/>
          <w:szCs w:val="24"/>
        </w:rPr>
        <w:t xml:space="preserve">Finální stanoviska Rady – </w:t>
      </w:r>
      <w:proofErr w:type="spellStart"/>
      <w:r w:rsidRPr="004449BB">
        <w:rPr>
          <w:rFonts w:ascii="Times New Roman" w:hAnsi="Times New Roman" w:cs="Times New Roman"/>
          <w:sz w:val="24"/>
          <w:szCs w:val="24"/>
        </w:rPr>
        <w:t>FSPs</w:t>
      </w:r>
      <w:proofErr w:type="spellEnd"/>
      <w:r w:rsidRPr="004449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000" w:rsidRPr="004449BB" w:rsidRDefault="004449BB" w:rsidP="004449BB">
      <w:pPr>
        <w:numPr>
          <w:ilvl w:val="1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449BB">
        <w:rPr>
          <w:rFonts w:ascii="Times New Roman" w:hAnsi="Times New Roman" w:cs="Times New Roman"/>
          <w:sz w:val="24"/>
          <w:szCs w:val="24"/>
        </w:rPr>
        <w:t>Technické věstníky – T</w:t>
      </w:r>
      <w:r w:rsidRPr="004449BB">
        <w:rPr>
          <w:rFonts w:ascii="Times New Roman" w:hAnsi="Times New Roman" w:cs="Times New Roman"/>
          <w:sz w:val="24"/>
          <w:szCs w:val="24"/>
        </w:rPr>
        <w:t xml:space="preserve">B </w:t>
      </w:r>
    </w:p>
    <w:p w:rsidR="00000000" w:rsidRPr="004449BB" w:rsidRDefault="004449BB" w:rsidP="004449BB">
      <w:pPr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449BB">
        <w:rPr>
          <w:rFonts w:ascii="Times New Roman" w:hAnsi="Times New Roman" w:cs="Times New Roman"/>
          <w:b/>
          <w:bCs/>
          <w:sz w:val="24"/>
          <w:szCs w:val="24"/>
        </w:rPr>
        <w:t xml:space="preserve">Základní zásady </w:t>
      </w:r>
      <w:r w:rsidRPr="004449BB">
        <w:rPr>
          <w:rFonts w:ascii="Times New Roman" w:hAnsi="Times New Roman" w:cs="Times New Roman"/>
          <w:sz w:val="24"/>
          <w:szCs w:val="24"/>
        </w:rPr>
        <w:t xml:space="preserve">– historická cena, rozpoznání tržeb, omezení, zásada opatrnosti, akruální báze, zásada konzistence, </w:t>
      </w:r>
      <w:r w:rsidRPr="004449BB">
        <w:rPr>
          <w:rFonts w:ascii="Times New Roman" w:hAnsi="Times New Roman" w:cs="Times New Roman"/>
          <w:sz w:val="24"/>
          <w:szCs w:val="24"/>
        </w:rPr>
        <w:t xml:space="preserve">objektivity, účetní jednotky, předpoklad trvání podniku, věrný a poctivý obraz, průmyslové zvyklosti  </w:t>
      </w:r>
    </w:p>
    <w:p w:rsidR="00DB1E8B" w:rsidRDefault="00DB1E8B" w:rsidP="00DB1E8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1E8B" w:rsidRDefault="00DB1E8B" w:rsidP="00DB1E8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Aplikace v ČR</w:t>
      </w:r>
    </w:p>
    <w:p w:rsidR="00000000" w:rsidRPr="004449BB" w:rsidRDefault="004449BB" w:rsidP="004449BB">
      <w:pPr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449BB">
        <w:rPr>
          <w:rFonts w:ascii="Times New Roman" w:hAnsi="Times New Roman" w:cs="Times New Roman"/>
          <w:sz w:val="24"/>
          <w:szCs w:val="24"/>
        </w:rPr>
        <w:t xml:space="preserve">Podniky, které jsou obchodní společností a jsou emitentem cenných papírů na evropském </w:t>
      </w:r>
      <w:r w:rsidRPr="004449BB">
        <w:rPr>
          <w:rFonts w:ascii="Times New Roman" w:hAnsi="Times New Roman" w:cs="Times New Roman"/>
          <w:sz w:val="24"/>
          <w:szCs w:val="24"/>
        </w:rPr>
        <w:t xml:space="preserve">regulovatelném trhu – účtují a sestavují účetní závěrku podle </w:t>
      </w:r>
      <w:proofErr w:type="gramStart"/>
      <w:r w:rsidRPr="004449BB">
        <w:rPr>
          <w:rFonts w:ascii="Times New Roman" w:hAnsi="Times New Roman" w:cs="Times New Roman"/>
          <w:b/>
          <w:bCs/>
          <w:sz w:val="24"/>
          <w:szCs w:val="24"/>
        </w:rPr>
        <w:t xml:space="preserve">IFRS </w:t>
      </w:r>
      <w:r w:rsidRPr="004449BB">
        <w:rPr>
          <w:rFonts w:ascii="Times New Roman" w:hAnsi="Times New Roman" w:cs="Times New Roman"/>
          <w:sz w:val="24"/>
          <w:szCs w:val="24"/>
        </w:rPr>
        <w:t xml:space="preserve"> (</w:t>
      </w:r>
      <w:proofErr w:type="gramEnd"/>
      <w:r w:rsidRPr="004449BB">
        <w:rPr>
          <w:rFonts w:ascii="Times New Roman" w:hAnsi="Times New Roman" w:cs="Times New Roman"/>
          <w:sz w:val="24"/>
          <w:szCs w:val="24"/>
        </w:rPr>
        <w:t>schválené právem EU)</w:t>
      </w:r>
    </w:p>
    <w:p w:rsidR="00000000" w:rsidRPr="004449BB" w:rsidRDefault="004449BB" w:rsidP="004449BB">
      <w:pPr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449BB">
        <w:rPr>
          <w:rFonts w:ascii="Times New Roman" w:hAnsi="Times New Roman" w:cs="Times New Roman"/>
          <w:sz w:val="24"/>
          <w:szCs w:val="24"/>
        </w:rPr>
        <w:t xml:space="preserve">Ostatní účtují a sestavují podle ČÚP </w:t>
      </w:r>
    </w:p>
    <w:p w:rsidR="000E2CB8" w:rsidRPr="00DB1E8B" w:rsidRDefault="000E2CB8" w:rsidP="004449BB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E2CB8" w:rsidRPr="00DB1E8B" w:rsidSect="00AD30D6">
      <w:footerReference w:type="default" r:id="rId7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1E8B" w:rsidRDefault="00DB1E8B" w:rsidP="00DB1E8B">
      <w:pPr>
        <w:spacing w:after="0" w:line="240" w:lineRule="auto"/>
      </w:pPr>
      <w:r>
        <w:separator/>
      </w:r>
    </w:p>
  </w:endnote>
  <w:endnote w:type="continuationSeparator" w:id="0">
    <w:p w:rsidR="00DB1E8B" w:rsidRDefault="00DB1E8B" w:rsidP="00DB1E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1A72" w:rsidRPr="00D76B08" w:rsidRDefault="00DB1E8B" w:rsidP="00D76B08">
    <w:pPr>
      <w:pStyle w:val="Zpat"/>
      <w:pBdr>
        <w:top w:val="thinThickSmallGap" w:sz="24" w:space="1" w:color="823B0B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Finanční účetnictví 2                                            12. 5. 2022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Stránka </w:t>
    </w:r>
    <w:r>
      <w:rPr>
        <w:rFonts w:eastAsiaTheme="minorEastAsia"/>
      </w:rPr>
      <w:fldChar w:fldCharType="begin"/>
    </w:r>
    <w:r>
      <w:instrText>PAGE   \* MERGEFORMAT</w:instrText>
    </w:r>
    <w:r>
      <w:rPr>
        <w:rFonts w:eastAsiaTheme="minorEastAsia"/>
      </w:rPr>
      <w:fldChar w:fldCharType="separate"/>
    </w:r>
    <w:r w:rsidRPr="00D76B08">
      <w:rPr>
        <w:rFonts w:asciiTheme="majorHAnsi" w:eastAsiaTheme="majorEastAsia" w:hAnsiTheme="majorHAnsi" w:cstheme="majorBidi"/>
        <w:noProof/>
      </w:rPr>
      <w:t>13</w:t>
    </w:r>
    <w:r>
      <w:rPr>
        <w:rFonts w:asciiTheme="majorHAnsi" w:eastAsiaTheme="majorEastAsia" w:hAnsiTheme="majorHAnsi" w:cstheme="majorBid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1E8B" w:rsidRDefault="00DB1E8B" w:rsidP="00DB1E8B">
      <w:pPr>
        <w:spacing w:after="0" w:line="240" w:lineRule="auto"/>
      </w:pPr>
      <w:r>
        <w:separator/>
      </w:r>
    </w:p>
  </w:footnote>
  <w:footnote w:type="continuationSeparator" w:id="0">
    <w:p w:rsidR="00DB1E8B" w:rsidRDefault="00DB1E8B" w:rsidP="00DB1E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4A4763"/>
    <w:multiLevelType w:val="hybridMultilevel"/>
    <w:tmpl w:val="C116E9F8"/>
    <w:lvl w:ilvl="0" w:tplc="96AA696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66C959C">
      <w:start w:val="142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096C52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26BE4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A90488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DB454C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2C5DF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E60CDD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7BEEA6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612B9E"/>
    <w:multiLevelType w:val="hybridMultilevel"/>
    <w:tmpl w:val="5DD40FC2"/>
    <w:lvl w:ilvl="0" w:tplc="9C9463E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FC4F222">
      <w:start w:val="67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85C20D0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1E9230B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007A998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DC8A2CE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1C8A49A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8CD6951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59F6950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2" w15:restartNumberingAfterBreak="0">
    <w:nsid w:val="19785223"/>
    <w:multiLevelType w:val="hybridMultilevel"/>
    <w:tmpl w:val="76B21954"/>
    <w:lvl w:ilvl="0" w:tplc="9C9463E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198FF9A">
      <w:start w:val="67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41AA938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430A43C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B160341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E59293B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5AB8AAA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2EF6E4A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C00884A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3" w15:restartNumberingAfterBreak="0">
    <w:nsid w:val="1B1948D8"/>
    <w:multiLevelType w:val="hybridMultilevel"/>
    <w:tmpl w:val="AA94918C"/>
    <w:lvl w:ilvl="0" w:tplc="26CE35D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AB2A3DE">
      <w:start w:val="142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000692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662F0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D168F5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E04BBB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FDC819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89EA0D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9DC06D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C7788E"/>
    <w:multiLevelType w:val="hybridMultilevel"/>
    <w:tmpl w:val="74382DF4"/>
    <w:lvl w:ilvl="0" w:tplc="52201FF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80C76F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7EA4A2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64FEA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970EED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808DEC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7E8569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74A0FF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1BEB08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AD7AC6"/>
    <w:multiLevelType w:val="hybridMultilevel"/>
    <w:tmpl w:val="EFB200DA"/>
    <w:lvl w:ilvl="0" w:tplc="9C9463E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68E6DC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F99A462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93F8FD4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D640CBD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7A7C746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7A2C7ED8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B1E06EB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E5265DC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6" w15:restartNumberingAfterBreak="0">
    <w:nsid w:val="2DEF7240"/>
    <w:multiLevelType w:val="hybridMultilevel"/>
    <w:tmpl w:val="F1841774"/>
    <w:lvl w:ilvl="0" w:tplc="9C9463E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6263D6">
      <w:start w:val="111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7C96110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D9DA3F7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3CD65B8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86C48DA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C234E20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AB00B0C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6648448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7" w15:restartNumberingAfterBreak="0">
    <w:nsid w:val="34E43F8F"/>
    <w:multiLevelType w:val="hybridMultilevel"/>
    <w:tmpl w:val="A002DAF2"/>
    <w:lvl w:ilvl="0" w:tplc="9C9463E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BC089C2">
      <w:start w:val="111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773471A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DC60EA9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E1B8F8F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D7A8E92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1A8CEE7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910E65D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CF5817D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8" w15:restartNumberingAfterBreak="0">
    <w:nsid w:val="3A580219"/>
    <w:multiLevelType w:val="hybridMultilevel"/>
    <w:tmpl w:val="9E7C67AA"/>
    <w:lvl w:ilvl="0" w:tplc="9C9463E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7705C3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9174A1D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1604FFE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4804265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555C37B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94F889F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66E8486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DCD0C7B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9" w15:restartNumberingAfterBreak="0">
    <w:nsid w:val="431C38A6"/>
    <w:multiLevelType w:val="hybridMultilevel"/>
    <w:tmpl w:val="095ED75C"/>
    <w:lvl w:ilvl="0" w:tplc="90CC815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252379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B66E3D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121B6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5F8386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F5A3DB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A30215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E80869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D72D3A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F75A6A"/>
    <w:multiLevelType w:val="hybridMultilevel"/>
    <w:tmpl w:val="D130CC56"/>
    <w:lvl w:ilvl="0" w:tplc="A1886C1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F28C2B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6A077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B073B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04624C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88E6E5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88EE3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022B5B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6DE9A4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A94529"/>
    <w:multiLevelType w:val="hybridMultilevel"/>
    <w:tmpl w:val="DDCA23A0"/>
    <w:lvl w:ilvl="0" w:tplc="1870F6D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5C40D14">
      <w:start w:val="142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5A6696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80371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51A790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F582E4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28E797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B288EF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1826A4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97005E"/>
    <w:multiLevelType w:val="hybridMultilevel"/>
    <w:tmpl w:val="34786246"/>
    <w:lvl w:ilvl="0" w:tplc="9C9463E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4DA0F4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7EA876D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F9E68A5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C4D0FB8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633ED46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F2043AB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37CACEE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94C26CE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3" w15:restartNumberingAfterBreak="0">
    <w:nsid w:val="55CB0A01"/>
    <w:multiLevelType w:val="hybridMultilevel"/>
    <w:tmpl w:val="F880F5C2"/>
    <w:lvl w:ilvl="0" w:tplc="D086382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E7A277C">
      <w:start w:val="142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098766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92DE5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E8EA35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B04A0E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480B7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9A2CAF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C6EEB1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7D3058"/>
    <w:multiLevelType w:val="hybridMultilevel"/>
    <w:tmpl w:val="F74492A0"/>
    <w:lvl w:ilvl="0" w:tplc="9C9463E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54ECA3C">
      <w:start w:val="67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0366C46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9B00C6C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36B4FA7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F8D6C30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4AA055A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484294E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324E67A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5" w15:restartNumberingAfterBreak="0">
    <w:nsid w:val="69407F84"/>
    <w:multiLevelType w:val="hybridMultilevel"/>
    <w:tmpl w:val="7AFC97F2"/>
    <w:lvl w:ilvl="0" w:tplc="8F3678F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A888F24">
      <w:start w:val="142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01C2BC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38C7B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826A5F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F12450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914665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2E629A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962373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8520B1"/>
    <w:multiLevelType w:val="hybridMultilevel"/>
    <w:tmpl w:val="9D343B20"/>
    <w:lvl w:ilvl="0" w:tplc="CB5AF17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843A1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DAA899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86AA0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194208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11C018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CA9D6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786EBC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B7CDE8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D57AEB"/>
    <w:multiLevelType w:val="hybridMultilevel"/>
    <w:tmpl w:val="B2945270"/>
    <w:lvl w:ilvl="0" w:tplc="EB4EA74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ED4BD38">
      <w:start w:val="142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E20448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98B2E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F32BDE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D5C7B9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A6B30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E14433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A06CD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63261D"/>
    <w:multiLevelType w:val="hybridMultilevel"/>
    <w:tmpl w:val="24F63970"/>
    <w:lvl w:ilvl="0" w:tplc="9C9463E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284B14">
      <w:start w:val="140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8E605D3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3532105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E13ECA9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30163A5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AD2E30F8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2376EA7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B540DCC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9" w15:restartNumberingAfterBreak="0">
    <w:nsid w:val="76700B6D"/>
    <w:multiLevelType w:val="hybridMultilevel"/>
    <w:tmpl w:val="27F406AA"/>
    <w:lvl w:ilvl="0" w:tplc="9C9463E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E30E33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A17EE99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E0407CC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1FF67E7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87AE999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E2B03B1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5E3C958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2DFA583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num w:numId="1">
    <w:abstractNumId w:val="18"/>
  </w:num>
  <w:num w:numId="2">
    <w:abstractNumId w:val="7"/>
  </w:num>
  <w:num w:numId="3">
    <w:abstractNumId w:val="14"/>
  </w:num>
  <w:num w:numId="4">
    <w:abstractNumId w:val="2"/>
  </w:num>
  <w:num w:numId="5">
    <w:abstractNumId w:val="19"/>
  </w:num>
  <w:num w:numId="6">
    <w:abstractNumId w:val="6"/>
  </w:num>
  <w:num w:numId="7">
    <w:abstractNumId w:val="12"/>
  </w:num>
  <w:num w:numId="8">
    <w:abstractNumId w:val="8"/>
  </w:num>
  <w:num w:numId="9">
    <w:abstractNumId w:val="1"/>
  </w:num>
  <w:num w:numId="10">
    <w:abstractNumId w:val="5"/>
  </w:num>
  <w:num w:numId="11">
    <w:abstractNumId w:val="13"/>
  </w:num>
  <w:num w:numId="12">
    <w:abstractNumId w:val="17"/>
  </w:num>
  <w:num w:numId="13">
    <w:abstractNumId w:val="3"/>
  </w:num>
  <w:num w:numId="14">
    <w:abstractNumId w:val="0"/>
  </w:num>
  <w:num w:numId="15">
    <w:abstractNumId w:val="10"/>
  </w:num>
  <w:num w:numId="16">
    <w:abstractNumId w:val="11"/>
  </w:num>
  <w:num w:numId="17">
    <w:abstractNumId w:val="16"/>
  </w:num>
  <w:num w:numId="18">
    <w:abstractNumId w:val="4"/>
  </w:num>
  <w:num w:numId="19">
    <w:abstractNumId w:val="15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E8B"/>
    <w:rsid w:val="000E2CB8"/>
    <w:rsid w:val="004449BB"/>
    <w:rsid w:val="00DB1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0AD39"/>
  <w15:chartTrackingRefBased/>
  <w15:docId w15:val="{38946D4E-89D3-450C-B3F0-18935BE17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B1E8B"/>
    <w:pPr>
      <w:spacing w:after="200" w:line="276" w:lineRule="auto"/>
    </w:p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DB1E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B1E8B"/>
  </w:style>
  <w:style w:type="paragraph" w:styleId="Zhlav">
    <w:name w:val="header"/>
    <w:basedOn w:val="Normln"/>
    <w:link w:val="ZhlavChar"/>
    <w:uiPriority w:val="99"/>
    <w:unhideWhenUsed/>
    <w:rsid w:val="00DB1E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B1E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15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170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486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55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449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053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702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2259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59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4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0938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91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68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7493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605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87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3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1391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5546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7646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4269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62449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04398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8760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87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8439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2485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37457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466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12979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1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6910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179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9578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829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58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035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56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9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10062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737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9068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338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5532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494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0137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49574">
          <w:marLeft w:val="27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46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40804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1575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229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9315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3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4142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151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039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102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0574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2591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424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MV?O</Company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Krajňák Michal</dc:creator>
  <cp:keywords/>
  <dc:description/>
  <cp:lastModifiedBy>Krajňák Michal</cp:lastModifiedBy>
  <cp:revision>2</cp:revision>
  <dcterms:created xsi:type="dcterms:W3CDTF">2022-05-05T08:54:00Z</dcterms:created>
  <dcterms:modified xsi:type="dcterms:W3CDTF">2022-05-12T08:55:00Z</dcterms:modified>
</cp:coreProperties>
</file>