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01" w:rsidRDefault="006C3F01" w:rsidP="006C3F01">
      <w:pPr>
        <w:spacing w:after="0"/>
        <w:jc w:val="center"/>
        <w:rPr>
          <w:b/>
          <w:sz w:val="28"/>
        </w:rPr>
      </w:pPr>
      <w:r w:rsidRPr="006C3F01">
        <w:rPr>
          <w:b/>
          <w:sz w:val="28"/>
        </w:rPr>
        <w:t>Otázky ke zkoušce z předmětu YFU2</w:t>
      </w:r>
    </w:p>
    <w:p w:rsidR="006C3F01" w:rsidRDefault="003B1EB7" w:rsidP="006C3F0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(akademický rok 2020/2021</w:t>
      </w:r>
      <w:r w:rsidR="006C3F01">
        <w:rPr>
          <w:b/>
          <w:sz w:val="28"/>
        </w:rPr>
        <w:t>)</w:t>
      </w:r>
    </w:p>
    <w:p w:rsidR="0005264A" w:rsidRDefault="0005264A" w:rsidP="0005264A">
      <w:pPr>
        <w:spacing w:after="0"/>
        <w:jc w:val="both"/>
        <w:rPr>
          <w:sz w:val="24"/>
          <w:szCs w:val="24"/>
        </w:rPr>
      </w:pPr>
    </w:p>
    <w:p w:rsidR="0005264A" w:rsidRPr="00E35A73" w:rsidRDefault="0005264A" w:rsidP="0005264A">
      <w:pPr>
        <w:spacing w:after="0"/>
        <w:jc w:val="both"/>
        <w:rPr>
          <w:sz w:val="24"/>
          <w:szCs w:val="24"/>
        </w:rPr>
      </w:pPr>
      <w:r w:rsidRPr="00E35A73">
        <w:rPr>
          <w:sz w:val="24"/>
          <w:szCs w:val="24"/>
        </w:rPr>
        <w:t xml:space="preserve">Při zkoušce jsou hodnoceny znalosti z předmětu Finanční </w:t>
      </w:r>
      <w:bookmarkStart w:id="0" w:name="_GoBack"/>
      <w:bookmarkEnd w:id="0"/>
      <w:r w:rsidRPr="00E35A73">
        <w:rPr>
          <w:sz w:val="24"/>
          <w:szCs w:val="24"/>
        </w:rPr>
        <w:t xml:space="preserve">účetnictví 1 (50 % hodnocení zkoušky) a z předmětu </w:t>
      </w:r>
      <w:r w:rsidR="005D64F9">
        <w:rPr>
          <w:sz w:val="24"/>
          <w:szCs w:val="24"/>
        </w:rPr>
        <w:t>Finanční účetnictví 2</w:t>
      </w:r>
      <w:r w:rsidRPr="00E35A73">
        <w:rPr>
          <w:sz w:val="24"/>
          <w:szCs w:val="24"/>
        </w:rPr>
        <w:t xml:space="preserve"> (50 % hodnocení zkoušky). </w:t>
      </w:r>
      <w:r w:rsidR="00BB34CB">
        <w:rPr>
          <w:sz w:val="24"/>
          <w:szCs w:val="24"/>
        </w:rPr>
        <w:t xml:space="preserve">Každá otázka je hodnocena maximálně 30 body. K úspěšnému vykonání zkoušky je nutno z každé otázky získat nejméně 15 bodů. Celkový maximální počet bodů ze zkoušky je 60. </w:t>
      </w:r>
    </w:p>
    <w:p w:rsidR="0005264A" w:rsidRPr="00B34862" w:rsidRDefault="0005264A" w:rsidP="0005264A">
      <w:pPr>
        <w:spacing w:after="0"/>
        <w:rPr>
          <w:sz w:val="12"/>
          <w:szCs w:val="24"/>
        </w:rPr>
      </w:pPr>
    </w:p>
    <w:p w:rsidR="0005264A" w:rsidRPr="00B34862" w:rsidRDefault="0005264A" w:rsidP="0005264A">
      <w:pPr>
        <w:spacing w:after="0"/>
        <w:jc w:val="both"/>
        <w:rPr>
          <w:b/>
          <w:sz w:val="24"/>
          <w:szCs w:val="24"/>
        </w:rPr>
      </w:pPr>
      <w:r w:rsidRPr="00B34862">
        <w:rPr>
          <w:b/>
          <w:sz w:val="24"/>
          <w:szCs w:val="24"/>
        </w:rPr>
        <w:t xml:space="preserve">Ve Vašem vlastním zájmu </w:t>
      </w:r>
      <w:r w:rsidRPr="00B34862">
        <w:rPr>
          <w:b/>
          <w:sz w:val="24"/>
          <w:szCs w:val="24"/>
          <w:u w:val="single"/>
        </w:rPr>
        <w:t>nepoužívejte</w:t>
      </w:r>
      <w:r w:rsidRPr="00B34862">
        <w:rPr>
          <w:b/>
          <w:sz w:val="24"/>
          <w:szCs w:val="24"/>
        </w:rPr>
        <w:t xml:space="preserve"> při přípravě na zkoušku nekvalitně</w:t>
      </w:r>
      <w:r>
        <w:rPr>
          <w:b/>
          <w:sz w:val="24"/>
          <w:szCs w:val="24"/>
        </w:rPr>
        <w:t xml:space="preserve"> a chybně </w:t>
      </w:r>
      <w:r w:rsidRPr="00B34862">
        <w:rPr>
          <w:b/>
          <w:sz w:val="24"/>
          <w:szCs w:val="24"/>
        </w:rPr>
        <w:t xml:space="preserve">zpracované </w:t>
      </w:r>
      <w:r>
        <w:rPr>
          <w:b/>
          <w:sz w:val="24"/>
          <w:szCs w:val="24"/>
        </w:rPr>
        <w:t xml:space="preserve">nebo zastaralé </w:t>
      </w:r>
      <w:r w:rsidRPr="00B34862">
        <w:rPr>
          <w:b/>
          <w:sz w:val="24"/>
          <w:szCs w:val="24"/>
        </w:rPr>
        <w:t>materiály</w:t>
      </w:r>
      <w:r>
        <w:rPr>
          <w:b/>
          <w:sz w:val="24"/>
          <w:szCs w:val="24"/>
        </w:rPr>
        <w:t xml:space="preserve"> či výtahy</w:t>
      </w:r>
      <w:r w:rsidRPr="00B34862">
        <w:rPr>
          <w:b/>
          <w:sz w:val="24"/>
          <w:szCs w:val="24"/>
        </w:rPr>
        <w:t xml:space="preserve"> od studentů z předcházejících ročníků. Tyto materiály se snaží ve velmi redukované podobě nastínit problematiku vybraných otázek</w:t>
      </w:r>
      <w:r>
        <w:rPr>
          <w:b/>
          <w:sz w:val="24"/>
          <w:szCs w:val="24"/>
        </w:rPr>
        <w:t xml:space="preserve"> (okruhů)</w:t>
      </w:r>
      <w:r w:rsidRPr="00B34862">
        <w:rPr>
          <w:b/>
          <w:sz w:val="24"/>
          <w:szCs w:val="24"/>
        </w:rPr>
        <w:t>, což nemusí být vždy dostačují</w:t>
      </w:r>
      <w:r w:rsidR="00DE5580">
        <w:rPr>
          <w:b/>
          <w:sz w:val="24"/>
          <w:szCs w:val="24"/>
        </w:rPr>
        <w:t>cí</w:t>
      </w:r>
      <w:r w:rsidRPr="00B34862">
        <w:rPr>
          <w:b/>
          <w:sz w:val="24"/>
          <w:szCs w:val="24"/>
        </w:rPr>
        <w:t xml:space="preserve"> k úspěšnému složení zkoušky, navíc obsahují často i věcné chyby. </w:t>
      </w:r>
    </w:p>
    <w:p w:rsidR="0005264A" w:rsidRPr="00B34862" w:rsidRDefault="0005264A" w:rsidP="0005264A">
      <w:pPr>
        <w:spacing w:after="0"/>
        <w:jc w:val="both"/>
        <w:rPr>
          <w:sz w:val="12"/>
          <w:szCs w:val="12"/>
        </w:rPr>
      </w:pPr>
    </w:p>
    <w:p w:rsidR="0005264A" w:rsidRDefault="0005264A" w:rsidP="0005264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rámci části </w:t>
      </w:r>
      <w:r w:rsidRPr="00B34862"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 – Finanční účetnictví 1 je primárním cílem podstaty otázek zaměřit se na pojetí a účetní zobrazení dle </w:t>
      </w:r>
      <w:r w:rsidRPr="00B34862">
        <w:rPr>
          <w:b/>
          <w:sz w:val="24"/>
          <w:szCs w:val="24"/>
          <w:u w:val="single"/>
        </w:rPr>
        <w:t xml:space="preserve">mezinárodního </w:t>
      </w:r>
      <w:r>
        <w:rPr>
          <w:b/>
          <w:sz w:val="24"/>
          <w:szCs w:val="24"/>
          <w:u w:val="single"/>
        </w:rPr>
        <w:t xml:space="preserve">(světového) </w:t>
      </w:r>
      <w:r w:rsidRPr="00B34862">
        <w:rPr>
          <w:b/>
          <w:sz w:val="24"/>
          <w:szCs w:val="24"/>
          <w:u w:val="single"/>
        </w:rPr>
        <w:t>účetnictví</w:t>
      </w:r>
      <w:r>
        <w:rPr>
          <w:sz w:val="24"/>
          <w:szCs w:val="24"/>
        </w:rPr>
        <w:t xml:space="preserve"> (IFRS, US GAAP), příp. provést srovnání dle IFRS, US GAAP a dle České účetní legislativy. </w:t>
      </w:r>
    </w:p>
    <w:p w:rsidR="0005264A" w:rsidRPr="00B34862" w:rsidRDefault="0005264A" w:rsidP="0005264A">
      <w:pPr>
        <w:spacing w:after="0"/>
        <w:jc w:val="both"/>
        <w:rPr>
          <w:sz w:val="12"/>
          <w:szCs w:val="24"/>
        </w:rPr>
      </w:pPr>
    </w:p>
    <w:p w:rsidR="0005264A" w:rsidRDefault="0005264A" w:rsidP="0005264A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V rámci části </w:t>
      </w:r>
      <w:r w:rsidRPr="00B34862">
        <w:rPr>
          <w:b/>
          <w:sz w:val="24"/>
          <w:szCs w:val="24"/>
        </w:rPr>
        <w:t>B</w:t>
      </w:r>
      <w:r>
        <w:rPr>
          <w:sz w:val="24"/>
          <w:szCs w:val="24"/>
        </w:rPr>
        <w:t xml:space="preserve"> – </w:t>
      </w:r>
      <w:r w:rsidR="00DE5580">
        <w:rPr>
          <w:sz w:val="24"/>
          <w:szCs w:val="24"/>
        </w:rPr>
        <w:t>Finanční účetnictví 2</w:t>
      </w:r>
      <w:r>
        <w:rPr>
          <w:sz w:val="24"/>
          <w:szCs w:val="24"/>
        </w:rPr>
        <w:t xml:space="preserve"> </w:t>
      </w:r>
      <w:r w:rsidR="00DE5580">
        <w:rPr>
          <w:sz w:val="24"/>
          <w:szCs w:val="24"/>
        </w:rPr>
        <w:t>–</w:t>
      </w:r>
      <w:r w:rsidRPr="00B34862">
        <w:rPr>
          <w:sz w:val="24"/>
          <w:szCs w:val="24"/>
        </w:rPr>
        <w:t xml:space="preserve"> zaměřte</w:t>
      </w:r>
      <w:r w:rsidR="00DE5580">
        <w:rPr>
          <w:sz w:val="24"/>
          <w:szCs w:val="24"/>
        </w:rPr>
        <w:t xml:space="preserve"> se</w:t>
      </w:r>
      <w:r w:rsidRPr="00B34862">
        <w:rPr>
          <w:sz w:val="24"/>
          <w:szCs w:val="24"/>
        </w:rPr>
        <w:t xml:space="preserve"> v rámci přípravy </w:t>
      </w:r>
      <w:r>
        <w:rPr>
          <w:sz w:val="24"/>
          <w:szCs w:val="24"/>
        </w:rPr>
        <w:t>také</w:t>
      </w:r>
      <w:r w:rsidRPr="00B34862">
        <w:rPr>
          <w:sz w:val="24"/>
          <w:szCs w:val="24"/>
        </w:rPr>
        <w:t xml:space="preserve"> na dopad příslušných účetních operací na účetní výkazy. </w:t>
      </w:r>
    </w:p>
    <w:p w:rsidR="0005264A" w:rsidRPr="0005264A" w:rsidRDefault="0005264A" w:rsidP="0005264A">
      <w:pPr>
        <w:jc w:val="both"/>
        <w:rPr>
          <w:i/>
          <w:sz w:val="18"/>
          <w:szCs w:val="24"/>
        </w:rPr>
      </w:pPr>
    </w:p>
    <w:p w:rsidR="006C3F01" w:rsidRPr="00FB18B5" w:rsidRDefault="006C3F01" w:rsidP="006C3F01">
      <w:pPr>
        <w:rPr>
          <w:sz w:val="24"/>
          <w:szCs w:val="24"/>
          <w:u w:val="single"/>
        </w:rPr>
      </w:pPr>
      <w:r w:rsidRPr="00FB18B5">
        <w:rPr>
          <w:sz w:val="24"/>
          <w:szCs w:val="24"/>
          <w:u w:val="single"/>
        </w:rPr>
        <w:t>Část A: Finanční účetnictví 1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Uživatelé účetních informací a jejich rozhodovací úlohy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Základní stavební prvky rozvahy (vymezení, definiční znaky, vztahy, bilanční rovnice), rozvaha (struktura, obsah, vypovídací schopnost)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Základní stavební prvky výsledovky, výsledovka (struktura, obsah, vypovídací schopnost)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Cash-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flow</w:t>
      </w:r>
      <w:proofErr w:type="spell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Zobrazení podnikatelského procesu v účetnictví (výrobní </w:t>
      </w:r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a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obchodní podnik, služby)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Metodické prvky v účetnictví 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Oceňování (prvotní ocenění, následné ocenění), 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Historical</w:t>
      </w:r>
      <w:proofErr w:type="spell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costs</w:t>
      </w:r>
      <w:proofErr w:type="spell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a její alternativy, Amortizovaná cena, LCM, Fair 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value</w:t>
      </w:r>
      <w:proofErr w:type="spell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současná hodnota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Uzávěrka a její operace (Předvaha, Inventarizace, vypořádání rozdílů, uzavření účtů)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Závěrka a její sou</w:t>
      </w:r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části I (rozvaha, výsledovka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Závěrka a její součásti II (</w:t>
      </w:r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cash-</w:t>
      </w:r>
      <w:proofErr w:type="spellStart"/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flow</w:t>
      </w:r>
      <w:proofErr w:type="spellEnd"/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, </w:t>
      </w: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příloha, výkaz o změnách vlastního kapitálu)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Konsolidace I (pojem, východiska, obecný koncept, konsolidační celek)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Konsolidace II (přístupy, metody, rozvahový den při konsolidaci, konsolidační pravidla)</w:t>
      </w:r>
    </w:p>
    <w:p w:rsidR="009D1B63" w:rsidRPr="009D1B63" w:rsidRDefault="003B1EB7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Koncepční rámec IAS/IFRS, příp. US GAAP</w:t>
      </w:r>
    </w:p>
    <w:p w:rsidR="009D1B63" w:rsidRPr="009D1B63" w:rsidRDefault="009D1B63" w:rsidP="009D1B63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Kvalitativní charakteristiky účetních informací a jejich praktické implikace</w:t>
      </w:r>
    </w:p>
    <w:p w:rsidR="006C3F01" w:rsidRPr="003B1EB7" w:rsidRDefault="009D1B63" w:rsidP="003B1EB7">
      <w:pPr>
        <w:pStyle w:val="Odstavecseseznamem"/>
        <w:numPr>
          <w:ilvl w:val="0"/>
          <w:numId w:val="4"/>
        </w:numPr>
        <w:spacing w:before="120" w:after="120" w:line="288" w:lineRule="auto"/>
        <w:ind w:left="714" w:hanging="357"/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</w:pPr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GAAP (základní předpoklady, základní principy), 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true</w:t>
      </w:r>
      <w:proofErr w:type="spellEnd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 xml:space="preserve"> and fair </w:t>
      </w:r>
      <w:proofErr w:type="spellStart"/>
      <w:r w:rsidRPr="009D1B63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view</w:t>
      </w:r>
      <w:proofErr w:type="spellEnd"/>
      <w:r w:rsidR="003B1EB7">
        <w:rPr>
          <w:rFonts w:ascii="Calibri" w:eastAsia="Times New Roman" w:hAnsi="Calibri" w:cs="Calibri"/>
          <w:bCs/>
          <w:color w:val="000000"/>
          <w:sz w:val="24"/>
          <w:szCs w:val="24"/>
          <w:lang w:eastAsia="cs-CZ"/>
        </w:rPr>
        <w:t>, US GAAP</w:t>
      </w:r>
    </w:p>
    <w:p w:rsidR="009D1B63" w:rsidRDefault="006C3F01" w:rsidP="006C3F01">
      <w:pPr>
        <w:rPr>
          <w:sz w:val="24"/>
          <w:szCs w:val="24"/>
          <w:u w:val="single"/>
        </w:rPr>
      </w:pPr>
      <w:r w:rsidRPr="00FB18B5">
        <w:rPr>
          <w:sz w:val="24"/>
          <w:szCs w:val="24"/>
          <w:u w:val="single"/>
        </w:rPr>
        <w:lastRenderedPageBreak/>
        <w:t xml:space="preserve">Část B: Finanční účetnictví 2 </w:t>
      </w:r>
    </w:p>
    <w:p w:rsidR="00B610EC" w:rsidRPr="006C3F01" w:rsidRDefault="006C3F0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 xml:space="preserve">Klasifikace a vymezení zásob, způsoby účtování, zobrazení zásob ve výkazu rozvahy </w:t>
      </w:r>
    </w:p>
    <w:p w:rsidR="006C3F01" w:rsidRPr="006C3F01" w:rsidRDefault="006C3F0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 xml:space="preserve">Vliv metod oceňování zásob na skladě na výsledek hospodaření účetní jednotky </w:t>
      </w:r>
    </w:p>
    <w:p w:rsidR="006C3F01" w:rsidRDefault="006C3F01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C3F01">
        <w:rPr>
          <w:sz w:val="24"/>
          <w:szCs w:val="24"/>
        </w:rPr>
        <w:t>Účetní operace v oblasti zásob typické ke konci účetního období</w:t>
      </w:r>
      <w:r w:rsidR="00225262">
        <w:rPr>
          <w:sz w:val="24"/>
          <w:szCs w:val="24"/>
        </w:rPr>
        <w:t>, vazba k účetním výkazům</w:t>
      </w:r>
    </w:p>
    <w:p w:rsidR="001F252B" w:rsidRPr="00E55BA6" w:rsidRDefault="00563631" w:rsidP="00E55BA6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Klasifikace a vymezení </w:t>
      </w:r>
      <w:r w:rsidR="003928DD">
        <w:rPr>
          <w:sz w:val="24"/>
          <w:szCs w:val="24"/>
        </w:rPr>
        <w:t>dlouhodobých aktiv</w:t>
      </w:r>
      <w:r w:rsidR="00E55BA6">
        <w:rPr>
          <w:sz w:val="24"/>
          <w:szCs w:val="24"/>
        </w:rPr>
        <w:t>, oceňování, k</w:t>
      </w:r>
      <w:r w:rsidR="001F252B" w:rsidRPr="00E55BA6">
        <w:rPr>
          <w:sz w:val="24"/>
          <w:szCs w:val="24"/>
        </w:rPr>
        <w:t>omparace oceňovacích přístupů dle ČÚP a dle IFRS příp. US GAAP (se zaměření</w:t>
      </w:r>
      <w:r w:rsidR="00E55BA6">
        <w:rPr>
          <w:sz w:val="24"/>
          <w:szCs w:val="24"/>
        </w:rPr>
        <w:t>m na oblast dlouhodobého aktiva</w:t>
      </w:r>
      <w:r w:rsidR="001F252B" w:rsidRPr="00E55BA6">
        <w:rPr>
          <w:sz w:val="24"/>
          <w:szCs w:val="24"/>
        </w:rPr>
        <w:t xml:space="preserve">)  </w:t>
      </w:r>
    </w:p>
    <w:p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Účetní zachycení pořízení </w:t>
      </w:r>
      <w:r w:rsidR="003928DD">
        <w:rPr>
          <w:sz w:val="24"/>
          <w:szCs w:val="24"/>
        </w:rPr>
        <w:t xml:space="preserve">dlouhodobých aktiv </w:t>
      </w:r>
      <w:r>
        <w:rPr>
          <w:sz w:val="24"/>
          <w:szCs w:val="24"/>
        </w:rPr>
        <w:t xml:space="preserve"> </w:t>
      </w:r>
    </w:p>
    <w:p w:rsidR="00563631" w:rsidRPr="00225262" w:rsidRDefault="00563631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Odpisy (x opravné položky) v účetnictví, účetní zachycení</w:t>
      </w:r>
      <w:r w:rsidR="002252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25262">
        <w:rPr>
          <w:sz w:val="24"/>
          <w:szCs w:val="24"/>
        </w:rPr>
        <w:t xml:space="preserve">Zvýšení hodnoty </w:t>
      </w:r>
      <w:r w:rsidR="003928DD" w:rsidRPr="00225262">
        <w:rPr>
          <w:sz w:val="24"/>
          <w:szCs w:val="24"/>
        </w:rPr>
        <w:t>aktiva</w:t>
      </w:r>
      <w:r w:rsidRPr="00225262">
        <w:rPr>
          <w:sz w:val="24"/>
          <w:szCs w:val="24"/>
        </w:rPr>
        <w:t xml:space="preserve"> (technické zhodnocení, opravy, údržby) x opravné položky, odpisy </w:t>
      </w:r>
    </w:p>
    <w:p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Vyřazení </w:t>
      </w:r>
      <w:r w:rsidR="003928DD">
        <w:rPr>
          <w:sz w:val="24"/>
          <w:szCs w:val="24"/>
        </w:rPr>
        <w:t>dlouhodobých aktiv</w:t>
      </w:r>
      <w:r>
        <w:rPr>
          <w:sz w:val="24"/>
          <w:szCs w:val="24"/>
        </w:rPr>
        <w:t xml:space="preserve"> </w:t>
      </w:r>
    </w:p>
    <w:p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Dlouhodobá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>, oceňování k okamžiku pořízení a k rozvahovému dni</w:t>
      </w:r>
    </w:p>
    <w:p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účtování hotovostního platebního styku (pokladna, ceniny)</w:t>
      </w:r>
    </w:p>
    <w:p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účtování bezhotovostního platebního styku (bankovní účty) </w:t>
      </w:r>
    </w:p>
    <w:p w:rsidR="00563631" w:rsidRDefault="0056363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Směnky a eskontní úvěry x bankovní úvěry </w:t>
      </w:r>
    </w:p>
    <w:p w:rsidR="00563631" w:rsidRDefault="003928D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Krátkodobá</w:t>
      </w:r>
      <w:r w:rsidR="00563631">
        <w:rPr>
          <w:sz w:val="24"/>
          <w:szCs w:val="24"/>
        </w:rPr>
        <w:t xml:space="preserve"> finanční </w:t>
      </w:r>
      <w:r>
        <w:rPr>
          <w:sz w:val="24"/>
          <w:szCs w:val="24"/>
        </w:rPr>
        <w:t>aktiva</w:t>
      </w:r>
      <w:r w:rsidR="00563631">
        <w:rPr>
          <w:sz w:val="24"/>
          <w:szCs w:val="24"/>
        </w:rPr>
        <w:t xml:space="preserve"> se zaměřením na cenné papíry, oceňování k okamžiku pořízení, k rozvahovému dni </w:t>
      </w:r>
    </w:p>
    <w:p w:rsidR="001275B1" w:rsidRDefault="0082771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Zúčtovací vztahy - </w:t>
      </w:r>
      <w:r w:rsidR="001275B1">
        <w:rPr>
          <w:sz w:val="24"/>
          <w:szCs w:val="24"/>
        </w:rPr>
        <w:t xml:space="preserve">Pohledávky a účetní zachycení jejich vypořádání </w:t>
      </w:r>
      <w:r w:rsidR="00B346ED">
        <w:rPr>
          <w:sz w:val="24"/>
          <w:szCs w:val="24"/>
        </w:rPr>
        <w:t>(z obchodních vztahů, zálohy, směnky, ostatní)</w:t>
      </w:r>
    </w:p>
    <w:p w:rsidR="001275B1" w:rsidRDefault="0082771D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Zúčtovací vztahy - </w:t>
      </w:r>
      <w:r w:rsidR="001275B1">
        <w:rPr>
          <w:sz w:val="24"/>
          <w:szCs w:val="24"/>
        </w:rPr>
        <w:t xml:space="preserve">Závazky </w:t>
      </w:r>
      <w:r w:rsidR="00BB34CB">
        <w:rPr>
          <w:sz w:val="24"/>
          <w:szCs w:val="24"/>
        </w:rPr>
        <w:t xml:space="preserve">(dluhy) </w:t>
      </w:r>
      <w:r w:rsidR="001275B1">
        <w:rPr>
          <w:sz w:val="24"/>
          <w:szCs w:val="24"/>
        </w:rPr>
        <w:t>a účet</w:t>
      </w:r>
      <w:r w:rsidR="009D1B63">
        <w:rPr>
          <w:sz w:val="24"/>
          <w:szCs w:val="24"/>
        </w:rPr>
        <w:t xml:space="preserve">ní zachycení jejich vypořádání </w:t>
      </w:r>
      <w:r w:rsidR="00B346ED">
        <w:rPr>
          <w:sz w:val="24"/>
          <w:szCs w:val="24"/>
        </w:rPr>
        <w:t xml:space="preserve">(z obchodních vztahů, zálohy, směnky, ostatní) </w:t>
      </w:r>
    </w:p>
    <w:p w:rsidR="001275B1" w:rsidRDefault="001275B1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Pohledávky a závazky</w:t>
      </w:r>
      <w:r w:rsidR="00BB34CB">
        <w:rPr>
          <w:sz w:val="24"/>
          <w:szCs w:val="24"/>
        </w:rPr>
        <w:t xml:space="preserve"> (dluhy)</w:t>
      </w:r>
      <w:r>
        <w:rPr>
          <w:sz w:val="24"/>
          <w:szCs w:val="24"/>
        </w:rPr>
        <w:t xml:space="preserve"> v cizích měnách </w:t>
      </w:r>
    </w:p>
    <w:p w:rsidR="00884A35" w:rsidRDefault="00884A35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42365">
        <w:rPr>
          <w:sz w:val="24"/>
          <w:szCs w:val="24"/>
        </w:rPr>
        <w:t>obrazení</w:t>
      </w:r>
      <w:r>
        <w:rPr>
          <w:sz w:val="24"/>
          <w:szCs w:val="24"/>
        </w:rPr>
        <w:t xml:space="preserve"> osobních nákladů v</w:t>
      </w:r>
      <w:r w:rsidR="00E42365">
        <w:rPr>
          <w:sz w:val="24"/>
          <w:szCs w:val="24"/>
        </w:rPr>
        <w:t> </w:t>
      </w:r>
      <w:r>
        <w:rPr>
          <w:sz w:val="24"/>
          <w:szCs w:val="24"/>
        </w:rPr>
        <w:t>účetnictví</w:t>
      </w:r>
    </w:p>
    <w:p w:rsidR="00E42365" w:rsidRDefault="00E42365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Goodwill jako nehmotné aktivum </w:t>
      </w:r>
      <w:r w:rsidR="00200E3B">
        <w:rPr>
          <w:sz w:val="24"/>
          <w:szCs w:val="24"/>
        </w:rPr>
        <w:t>(např. ve vztahu k lidské práci)</w:t>
      </w:r>
      <w:r>
        <w:rPr>
          <w:sz w:val="24"/>
          <w:szCs w:val="24"/>
        </w:rPr>
        <w:t xml:space="preserve"> </w:t>
      </w:r>
    </w:p>
    <w:p w:rsidR="00E42365" w:rsidRDefault="00D774BB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Časové rozlišení nákladů a výnosů, výdajů a příjmů, zachycení v účetních výkazech</w:t>
      </w:r>
      <w:r w:rsidR="009D1B63">
        <w:rPr>
          <w:sz w:val="24"/>
          <w:szCs w:val="24"/>
        </w:rPr>
        <w:t xml:space="preserve">, GAAP vztahující se k časovému rozlišení, význam a úloha časového rozlišení </w:t>
      </w:r>
      <w:r>
        <w:rPr>
          <w:sz w:val="24"/>
          <w:szCs w:val="24"/>
        </w:rPr>
        <w:t xml:space="preserve"> </w:t>
      </w:r>
    </w:p>
    <w:p w:rsidR="00D774BB" w:rsidRDefault="00D774BB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Časové rozlišení x dohadné účty </w:t>
      </w:r>
    </w:p>
    <w:p w:rsidR="00EB2F00" w:rsidRDefault="00EB2F00" w:rsidP="00EB2F0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Rezerva jako závazek v účetnictví podnikatelských subjektů </w:t>
      </w:r>
    </w:p>
    <w:p w:rsidR="00EB2F00" w:rsidRDefault="00EB2F00" w:rsidP="00EB2F0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Opravné položky v účetnictví </w:t>
      </w:r>
      <w:r w:rsidR="009D1B63">
        <w:rPr>
          <w:sz w:val="24"/>
          <w:szCs w:val="24"/>
        </w:rPr>
        <w:t xml:space="preserve">(k dlouhodobému majetku, zásobám, finančnímu majetku, pohledávkám), důvod a účel tvorby OP </w:t>
      </w:r>
    </w:p>
    <w:p w:rsidR="00EB2F00" w:rsidRDefault="00B26144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Základní kapitál jako vlastní zdroj financování</w:t>
      </w:r>
      <w:r w:rsidR="009D1B63">
        <w:rPr>
          <w:sz w:val="24"/>
          <w:szCs w:val="24"/>
        </w:rPr>
        <w:t xml:space="preserve">, složky vlastního kapitálu </w:t>
      </w:r>
      <w:r>
        <w:rPr>
          <w:sz w:val="24"/>
          <w:szCs w:val="24"/>
        </w:rPr>
        <w:t xml:space="preserve"> </w:t>
      </w:r>
    </w:p>
    <w:p w:rsidR="00B26144" w:rsidRDefault="008C6B0E" w:rsidP="006C3F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Výsledek hospodaření (zisk, ztráta) a jeho rozdělení </w:t>
      </w:r>
    </w:p>
    <w:p w:rsidR="005838A8" w:rsidRPr="005838A8" w:rsidRDefault="005838A8" w:rsidP="005838A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Význam auditu v účetnictví podnikatelských subjektů</w:t>
      </w:r>
    </w:p>
    <w:p w:rsidR="0005264A" w:rsidRPr="00225262" w:rsidRDefault="005838A8" w:rsidP="0022526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Vývoj harmonizace účetnictví ve světě (US GAAP, IFRS, Direktivy EU) </w:t>
      </w:r>
    </w:p>
    <w:p w:rsidR="003E1E37" w:rsidRPr="003E1E37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Celkové hodnocení u zkoušky – 6</w:t>
      </w:r>
      <w:r w:rsidR="003E1E37" w:rsidRPr="003E1E37">
        <w:rPr>
          <w:i/>
          <w:sz w:val="24"/>
        </w:rPr>
        <w:t xml:space="preserve">0 bodů </w:t>
      </w:r>
    </w:p>
    <w:p w:rsid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Otázka z části A – </w:t>
      </w:r>
      <w:r w:rsidR="00BB34CB"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r w:rsidR="00BB34CB">
        <w:rPr>
          <w:i/>
          <w:sz w:val="24"/>
        </w:rPr>
        <w:t xml:space="preserve"> bodů, otázka z části B – </w:t>
      </w:r>
      <w:r w:rsidR="00BB34CB">
        <w:rPr>
          <w:b/>
          <w:i/>
          <w:sz w:val="24"/>
        </w:rPr>
        <w:t>3</w:t>
      </w:r>
      <w:r w:rsidRPr="003E1E37">
        <w:rPr>
          <w:b/>
          <w:i/>
          <w:sz w:val="24"/>
        </w:rPr>
        <w:t>0</w:t>
      </w:r>
      <w:r w:rsidRPr="003E1E37">
        <w:rPr>
          <w:i/>
          <w:sz w:val="24"/>
        </w:rPr>
        <w:t xml:space="preserve"> bodů</w:t>
      </w:r>
    </w:p>
    <w:p w:rsidR="00BB34CB" w:rsidRDefault="00BB34CB" w:rsidP="003E1E37">
      <w:pPr>
        <w:spacing w:after="0"/>
        <w:rPr>
          <w:i/>
          <w:sz w:val="24"/>
        </w:rPr>
      </w:pPr>
    </w:p>
    <w:p w:rsid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t>Součástí výsledné známky z předmětu je také bodové hodnocení ze zápočtu (</w:t>
      </w:r>
      <w:r w:rsidRPr="00BB34CB">
        <w:rPr>
          <w:b/>
          <w:i/>
          <w:sz w:val="24"/>
        </w:rPr>
        <w:t>26 – 40</w:t>
      </w:r>
      <w:r>
        <w:rPr>
          <w:i/>
          <w:sz w:val="24"/>
        </w:rPr>
        <w:t xml:space="preserve"> bodů)</w:t>
      </w:r>
    </w:p>
    <w:p w:rsidR="00BB34CB" w:rsidRDefault="00BB34CB" w:rsidP="003E1E37">
      <w:pPr>
        <w:spacing w:after="0"/>
        <w:rPr>
          <w:i/>
          <w:sz w:val="24"/>
        </w:rPr>
      </w:pPr>
      <w:r>
        <w:rPr>
          <w:i/>
          <w:sz w:val="24"/>
        </w:rPr>
        <w:lastRenderedPageBreak/>
        <w:t>Výsledné hodnocení</w:t>
      </w:r>
    </w:p>
    <w:p w:rsidR="00BB34CB" w:rsidRPr="00BB34CB" w:rsidRDefault="00BB34CB" w:rsidP="003E1E37">
      <w:pPr>
        <w:spacing w:after="0"/>
        <w:rPr>
          <w:i/>
          <w:sz w:val="24"/>
        </w:rPr>
      </w:pPr>
    </w:p>
    <w:p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100-91 … výborně </w:t>
      </w:r>
    </w:p>
    <w:p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90-75 … velmi dobře </w:t>
      </w:r>
    </w:p>
    <w:p w:rsidR="003E1E37" w:rsidRPr="003E1E37" w:rsidRDefault="003E1E37" w:rsidP="003E1E37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74-65 … dobře</w:t>
      </w:r>
    </w:p>
    <w:p w:rsidR="003E1E37" w:rsidRPr="009D1B63" w:rsidRDefault="003E1E37" w:rsidP="009D1B63">
      <w:pPr>
        <w:spacing w:after="0"/>
        <w:rPr>
          <w:i/>
          <w:sz w:val="24"/>
        </w:rPr>
      </w:pPr>
      <w:r w:rsidRPr="003E1E37">
        <w:rPr>
          <w:i/>
          <w:sz w:val="24"/>
        </w:rPr>
        <w:t xml:space="preserve">  64-  0 … nevyhověl </w:t>
      </w:r>
    </w:p>
    <w:sectPr w:rsidR="003E1E37" w:rsidRPr="009D1B63" w:rsidSect="003928DD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80" w:rsidRDefault="00DE5580" w:rsidP="00DE5580">
      <w:pPr>
        <w:spacing w:after="0" w:line="240" w:lineRule="auto"/>
      </w:pPr>
      <w:r>
        <w:separator/>
      </w:r>
    </w:p>
  </w:endnote>
  <w:endnote w:type="continuationSeparator" w:id="0">
    <w:p w:rsidR="00DE5580" w:rsidRDefault="00DE5580" w:rsidP="00D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857746"/>
      <w:docPartObj>
        <w:docPartGallery w:val="Page Numbers (Bottom of Page)"/>
        <w:docPartUnique/>
      </w:docPartObj>
    </w:sdtPr>
    <w:sdtEndPr/>
    <w:sdtContent>
      <w:p w:rsidR="00DE5580" w:rsidRDefault="00DE55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9C6">
          <w:rPr>
            <w:noProof/>
          </w:rPr>
          <w:t>1</w:t>
        </w:r>
        <w:r>
          <w:fldChar w:fldCharType="end"/>
        </w:r>
      </w:p>
    </w:sdtContent>
  </w:sdt>
  <w:p w:rsidR="00DE5580" w:rsidRDefault="00DE55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80" w:rsidRDefault="00DE5580" w:rsidP="00DE5580">
      <w:pPr>
        <w:spacing w:after="0" w:line="240" w:lineRule="auto"/>
      </w:pPr>
      <w:r>
        <w:separator/>
      </w:r>
    </w:p>
  </w:footnote>
  <w:footnote w:type="continuationSeparator" w:id="0">
    <w:p w:rsidR="00DE5580" w:rsidRDefault="00DE5580" w:rsidP="00DE5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D5BFC"/>
    <w:multiLevelType w:val="hybridMultilevel"/>
    <w:tmpl w:val="A6E2B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E554E"/>
    <w:multiLevelType w:val="hybridMultilevel"/>
    <w:tmpl w:val="11240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21DCD"/>
    <w:multiLevelType w:val="hybridMultilevel"/>
    <w:tmpl w:val="62EEA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D0D3A"/>
    <w:multiLevelType w:val="hybridMultilevel"/>
    <w:tmpl w:val="DCFAE8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01"/>
    <w:rsid w:val="0005264A"/>
    <w:rsid w:val="00083EC5"/>
    <w:rsid w:val="001275B1"/>
    <w:rsid w:val="001D76D9"/>
    <w:rsid w:val="001F252B"/>
    <w:rsid w:val="00200E3B"/>
    <w:rsid w:val="00225262"/>
    <w:rsid w:val="003928DD"/>
    <w:rsid w:val="003B1EB7"/>
    <w:rsid w:val="003E1E37"/>
    <w:rsid w:val="00486E4A"/>
    <w:rsid w:val="00563631"/>
    <w:rsid w:val="005838A8"/>
    <w:rsid w:val="005D64F9"/>
    <w:rsid w:val="006C3F01"/>
    <w:rsid w:val="0082771D"/>
    <w:rsid w:val="00884A35"/>
    <w:rsid w:val="008C6B0E"/>
    <w:rsid w:val="00944FF4"/>
    <w:rsid w:val="009D1B63"/>
    <w:rsid w:val="009D6251"/>
    <w:rsid w:val="00A46791"/>
    <w:rsid w:val="00A839C6"/>
    <w:rsid w:val="00B26144"/>
    <w:rsid w:val="00B346ED"/>
    <w:rsid w:val="00B610EC"/>
    <w:rsid w:val="00B74799"/>
    <w:rsid w:val="00B77B11"/>
    <w:rsid w:val="00BB34CB"/>
    <w:rsid w:val="00C61632"/>
    <w:rsid w:val="00D774BB"/>
    <w:rsid w:val="00DE5580"/>
    <w:rsid w:val="00E42365"/>
    <w:rsid w:val="00E55BA6"/>
    <w:rsid w:val="00EB2F00"/>
    <w:rsid w:val="00FB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3F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5580"/>
  </w:style>
  <w:style w:type="paragraph" w:styleId="Zpat">
    <w:name w:val="footer"/>
    <w:basedOn w:val="Normln"/>
    <w:link w:val="ZpatChar"/>
    <w:uiPriority w:val="99"/>
    <w:unhideWhenUsed/>
    <w:rsid w:val="00DE5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5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676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Michal Krajňák</cp:lastModifiedBy>
  <cp:revision>9</cp:revision>
  <dcterms:created xsi:type="dcterms:W3CDTF">2016-08-08T07:15:00Z</dcterms:created>
  <dcterms:modified xsi:type="dcterms:W3CDTF">2021-01-28T16:59:00Z</dcterms:modified>
</cp:coreProperties>
</file>