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857" w:rsidRPr="00B63CC2" w:rsidRDefault="00B63CC2" w:rsidP="00B63CC2">
      <w:pPr>
        <w:jc w:val="center"/>
        <w:rPr>
          <w:b/>
          <w:sz w:val="28"/>
          <w:szCs w:val="28"/>
        </w:rPr>
      </w:pPr>
      <w:r w:rsidRPr="00B63CC2">
        <w:rPr>
          <w:b/>
          <w:sz w:val="28"/>
          <w:szCs w:val="28"/>
        </w:rPr>
        <w:t>OTÁZKY KE ZKOUŠCE MIKROEKONOMIE 2</w:t>
      </w:r>
    </w:p>
    <w:p w:rsidR="00B63CC2" w:rsidRPr="009F6B9C" w:rsidRDefault="00B63CC2">
      <w:pPr>
        <w:rPr>
          <w:sz w:val="24"/>
          <w:szCs w:val="24"/>
        </w:rPr>
      </w:pPr>
    </w:p>
    <w:p w:rsidR="00BF390D" w:rsidRPr="009F6B9C" w:rsidRDefault="00BF390D" w:rsidP="00B63CC2">
      <w:pPr>
        <w:pStyle w:val="Nadpisotzky"/>
        <w:numPr>
          <w:ilvl w:val="0"/>
          <w:numId w:val="1"/>
        </w:numPr>
        <w:ind w:left="425" w:hanging="426"/>
        <w:rPr>
          <w:rFonts w:ascii="Calibri" w:hAnsi="Calibri" w:cs="Calibri"/>
          <w:b w:val="0"/>
          <w:sz w:val="24"/>
          <w:szCs w:val="24"/>
        </w:rPr>
      </w:pPr>
      <w:r w:rsidRPr="009F6B9C">
        <w:rPr>
          <w:rFonts w:ascii="Calibri" w:hAnsi="Calibri" w:cs="Calibri"/>
          <w:b w:val="0"/>
          <w:sz w:val="24"/>
          <w:szCs w:val="24"/>
        </w:rPr>
        <w:t>Teoretické přístupy k ekonomii.</w:t>
      </w:r>
    </w:p>
    <w:p w:rsidR="00BF390D" w:rsidRPr="009F6B9C" w:rsidRDefault="00BF390D" w:rsidP="00B63CC2">
      <w:pPr>
        <w:pStyle w:val="Nadpisotzky"/>
        <w:numPr>
          <w:ilvl w:val="0"/>
          <w:numId w:val="1"/>
        </w:numPr>
        <w:ind w:left="425" w:hanging="426"/>
        <w:rPr>
          <w:rFonts w:ascii="Calibri" w:hAnsi="Calibri" w:cs="Calibri"/>
          <w:b w:val="0"/>
          <w:sz w:val="24"/>
          <w:szCs w:val="24"/>
        </w:rPr>
      </w:pPr>
      <w:r w:rsidRPr="009F6B9C">
        <w:rPr>
          <w:rFonts w:ascii="Calibri" w:hAnsi="Calibri" w:cs="Calibri"/>
          <w:b w:val="0"/>
          <w:sz w:val="24"/>
          <w:szCs w:val="24"/>
        </w:rPr>
        <w:t>Alternativní teorie firmy.</w:t>
      </w:r>
    </w:p>
    <w:p w:rsidR="00BF390D" w:rsidRPr="009F6B9C" w:rsidRDefault="00BF390D" w:rsidP="00B63CC2">
      <w:pPr>
        <w:pStyle w:val="Nadpisotzky"/>
        <w:numPr>
          <w:ilvl w:val="0"/>
          <w:numId w:val="1"/>
        </w:numPr>
        <w:ind w:left="425" w:hanging="426"/>
        <w:rPr>
          <w:rFonts w:ascii="Calibri" w:hAnsi="Calibri" w:cs="Calibri"/>
          <w:b w:val="0"/>
          <w:sz w:val="24"/>
          <w:szCs w:val="24"/>
        </w:rPr>
      </w:pPr>
      <w:r w:rsidRPr="009F6B9C">
        <w:rPr>
          <w:rFonts w:ascii="Calibri" w:hAnsi="Calibri" w:cs="Calibri"/>
          <w:b w:val="0"/>
          <w:sz w:val="24"/>
          <w:szCs w:val="24"/>
        </w:rPr>
        <w:t>Metody a modely v ekonomii.</w:t>
      </w:r>
    </w:p>
    <w:p w:rsidR="00B63CC2" w:rsidRPr="009F6B9C" w:rsidRDefault="00B63CC2" w:rsidP="00B63CC2">
      <w:pPr>
        <w:pStyle w:val="Nadpisotzky"/>
        <w:numPr>
          <w:ilvl w:val="0"/>
          <w:numId w:val="1"/>
        </w:numPr>
        <w:ind w:left="425" w:hanging="426"/>
        <w:rPr>
          <w:rFonts w:ascii="Calibri" w:hAnsi="Calibri" w:cs="Calibri"/>
          <w:b w:val="0"/>
          <w:sz w:val="24"/>
          <w:szCs w:val="24"/>
        </w:rPr>
      </w:pPr>
      <w:r w:rsidRPr="009F6B9C">
        <w:rPr>
          <w:rFonts w:ascii="Calibri" w:hAnsi="Calibri" w:cs="Calibri"/>
          <w:b w:val="0"/>
          <w:sz w:val="24"/>
          <w:szCs w:val="24"/>
        </w:rPr>
        <w:t>Teorie racionální volby spotřebitele. Optimum spotřebitele.</w:t>
      </w:r>
    </w:p>
    <w:p w:rsidR="00BF390D" w:rsidRPr="009F6B9C" w:rsidRDefault="001433FB" w:rsidP="00B63CC2">
      <w:pPr>
        <w:pStyle w:val="Nadpisotzky"/>
        <w:numPr>
          <w:ilvl w:val="0"/>
          <w:numId w:val="1"/>
        </w:numPr>
        <w:ind w:left="425" w:hanging="426"/>
        <w:rPr>
          <w:rFonts w:ascii="Calibri" w:hAnsi="Calibri" w:cs="Calibri"/>
          <w:b w:val="0"/>
          <w:sz w:val="24"/>
          <w:szCs w:val="24"/>
        </w:rPr>
      </w:pPr>
      <w:r w:rsidRPr="009F6B9C">
        <w:rPr>
          <w:rFonts w:ascii="Calibri" w:hAnsi="Calibri" w:cs="Calibri"/>
          <w:b w:val="0"/>
          <w:sz w:val="24"/>
          <w:szCs w:val="24"/>
        </w:rPr>
        <w:t>Engelova křivka. Typy elasticit.</w:t>
      </w:r>
    </w:p>
    <w:p w:rsidR="00BF390D" w:rsidRPr="009F6B9C" w:rsidRDefault="001433FB" w:rsidP="00BF390D">
      <w:pPr>
        <w:pStyle w:val="Nadpisotzky"/>
        <w:numPr>
          <w:ilvl w:val="0"/>
          <w:numId w:val="1"/>
        </w:numPr>
        <w:ind w:left="425" w:hanging="426"/>
        <w:rPr>
          <w:rFonts w:ascii="Calibri" w:hAnsi="Calibri" w:cs="Calibri"/>
          <w:b w:val="0"/>
          <w:sz w:val="24"/>
          <w:szCs w:val="24"/>
        </w:rPr>
      </w:pPr>
      <w:r w:rsidRPr="009F6B9C">
        <w:rPr>
          <w:rFonts w:ascii="Calibri" w:hAnsi="Calibri" w:cs="Calibri"/>
          <w:b w:val="0"/>
          <w:sz w:val="24"/>
          <w:szCs w:val="24"/>
        </w:rPr>
        <w:t>Teorie spotřebitelské poptávky, efekt módy a snobské spotřeby.</w:t>
      </w:r>
    </w:p>
    <w:p w:rsidR="001433FB" w:rsidRPr="009F6B9C" w:rsidRDefault="00BF390D" w:rsidP="00B63CC2">
      <w:pPr>
        <w:pStyle w:val="Nadpisotzky"/>
        <w:numPr>
          <w:ilvl w:val="0"/>
          <w:numId w:val="1"/>
        </w:numPr>
        <w:ind w:left="425" w:hanging="426"/>
        <w:rPr>
          <w:rFonts w:ascii="Calibri" w:hAnsi="Calibri" w:cs="Calibri"/>
          <w:b w:val="0"/>
          <w:sz w:val="24"/>
          <w:szCs w:val="24"/>
        </w:rPr>
      </w:pPr>
      <w:proofErr w:type="spellStart"/>
      <w:r w:rsidRPr="009F6B9C">
        <w:rPr>
          <w:rFonts w:ascii="Calibri" w:hAnsi="Calibri" w:cs="Calibri"/>
          <w:b w:val="0"/>
          <w:sz w:val="24"/>
          <w:szCs w:val="24"/>
        </w:rPr>
        <w:t>Mezičasový</w:t>
      </w:r>
      <w:proofErr w:type="spellEnd"/>
      <w:r w:rsidRPr="009F6B9C">
        <w:rPr>
          <w:rFonts w:ascii="Calibri" w:hAnsi="Calibri" w:cs="Calibri"/>
          <w:b w:val="0"/>
          <w:sz w:val="24"/>
          <w:szCs w:val="24"/>
        </w:rPr>
        <w:t xml:space="preserve"> výběr spotřebitele. Rozpočtové omezení spotřebitele v současné a budoucí hodnotě.</w:t>
      </w:r>
    </w:p>
    <w:p w:rsidR="00B63CC2" w:rsidRPr="009F6B9C" w:rsidRDefault="00BF390D" w:rsidP="00B63CC2">
      <w:pPr>
        <w:pStyle w:val="Nadpisotzky"/>
        <w:numPr>
          <w:ilvl w:val="0"/>
          <w:numId w:val="1"/>
        </w:numPr>
        <w:ind w:left="425" w:hanging="426"/>
        <w:rPr>
          <w:rFonts w:ascii="Calibri" w:hAnsi="Calibri" w:cs="Calibri"/>
          <w:b w:val="0"/>
          <w:sz w:val="24"/>
          <w:szCs w:val="24"/>
        </w:rPr>
      </w:pPr>
      <w:r w:rsidRPr="009F6B9C">
        <w:rPr>
          <w:rFonts w:ascii="Calibri" w:hAnsi="Calibri" w:cs="Calibri"/>
          <w:b w:val="0"/>
          <w:sz w:val="24"/>
          <w:szCs w:val="24"/>
        </w:rPr>
        <w:t xml:space="preserve"> </w:t>
      </w:r>
      <w:r w:rsidR="001433FB" w:rsidRPr="009F6B9C">
        <w:rPr>
          <w:rFonts w:ascii="Calibri" w:hAnsi="Calibri" w:cs="Calibri"/>
          <w:b w:val="0"/>
          <w:sz w:val="24"/>
          <w:szCs w:val="24"/>
        </w:rPr>
        <w:t>Rozhodování spotřebitele v podmínkách rizika</w:t>
      </w:r>
      <w:r w:rsidRPr="009F6B9C">
        <w:rPr>
          <w:rFonts w:ascii="Calibri" w:hAnsi="Calibri" w:cs="Calibri"/>
          <w:b w:val="0"/>
          <w:sz w:val="24"/>
          <w:szCs w:val="24"/>
        </w:rPr>
        <w:t>.</w:t>
      </w:r>
    </w:p>
    <w:p w:rsidR="00B63CC2" w:rsidRPr="009F6B9C" w:rsidRDefault="00B63CC2" w:rsidP="00B63CC2">
      <w:pPr>
        <w:pStyle w:val="Nadpisotzky"/>
        <w:numPr>
          <w:ilvl w:val="0"/>
          <w:numId w:val="1"/>
        </w:numPr>
        <w:ind w:left="425" w:hanging="426"/>
        <w:rPr>
          <w:rFonts w:ascii="Calibri" w:hAnsi="Calibri" w:cs="Calibri"/>
          <w:b w:val="0"/>
          <w:sz w:val="24"/>
          <w:szCs w:val="24"/>
        </w:rPr>
      </w:pPr>
      <w:r w:rsidRPr="009F6B9C">
        <w:rPr>
          <w:rFonts w:ascii="Calibri" w:hAnsi="Calibri" w:cs="Calibri"/>
          <w:b w:val="0"/>
          <w:sz w:val="24"/>
          <w:szCs w:val="24"/>
        </w:rPr>
        <w:t xml:space="preserve">Volba technologie a výroba v krátkém období. </w:t>
      </w:r>
    </w:p>
    <w:p w:rsidR="00BF390D" w:rsidRPr="009F6B9C" w:rsidRDefault="00B63CC2" w:rsidP="00B63CC2">
      <w:pPr>
        <w:numPr>
          <w:ilvl w:val="0"/>
          <w:numId w:val="1"/>
        </w:numPr>
        <w:spacing w:after="0" w:line="240" w:lineRule="auto"/>
        <w:ind w:left="425" w:hanging="426"/>
        <w:jc w:val="both"/>
        <w:rPr>
          <w:rFonts w:ascii="Calibri" w:hAnsi="Calibri" w:cs="Calibri"/>
          <w:bCs/>
          <w:sz w:val="24"/>
          <w:szCs w:val="24"/>
        </w:rPr>
      </w:pPr>
      <w:r w:rsidRPr="009F6B9C">
        <w:rPr>
          <w:rFonts w:ascii="Calibri" w:hAnsi="Calibri" w:cs="Calibri"/>
          <w:bCs/>
          <w:sz w:val="24"/>
          <w:szCs w:val="24"/>
        </w:rPr>
        <w:t>Volba technologie a výroba v dlouhém období</w:t>
      </w:r>
      <w:r w:rsidR="00BF390D" w:rsidRPr="009F6B9C">
        <w:rPr>
          <w:rFonts w:ascii="Calibri" w:hAnsi="Calibri" w:cs="Calibri"/>
          <w:bCs/>
          <w:sz w:val="24"/>
          <w:szCs w:val="24"/>
        </w:rPr>
        <w:t>.</w:t>
      </w:r>
    </w:p>
    <w:p w:rsidR="00B63CC2" w:rsidRPr="009F6B9C" w:rsidRDefault="00BF390D" w:rsidP="00B63CC2">
      <w:pPr>
        <w:numPr>
          <w:ilvl w:val="0"/>
          <w:numId w:val="1"/>
        </w:numPr>
        <w:spacing w:after="0" w:line="240" w:lineRule="auto"/>
        <w:ind w:left="425" w:hanging="426"/>
        <w:jc w:val="both"/>
        <w:rPr>
          <w:rFonts w:ascii="Calibri" w:hAnsi="Calibri" w:cs="Calibri"/>
          <w:bCs/>
          <w:sz w:val="24"/>
          <w:szCs w:val="24"/>
        </w:rPr>
      </w:pPr>
      <w:r w:rsidRPr="009F6B9C">
        <w:rPr>
          <w:rFonts w:ascii="Calibri" w:hAnsi="Calibri" w:cs="Calibri"/>
          <w:bCs/>
          <w:sz w:val="24"/>
          <w:szCs w:val="24"/>
        </w:rPr>
        <w:t xml:space="preserve">Dráha expanze a </w:t>
      </w:r>
      <w:r w:rsidR="00B63CC2" w:rsidRPr="009F6B9C">
        <w:rPr>
          <w:rFonts w:ascii="Calibri" w:hAnsi="Calibri" w:cs="Calibri"/>
          <w:bCs/>
          <w:sz w:val="24"/>
          <w:szCs w:val="24"/>
        </w:rPr>
        <w:t xml:space="preserve">optimum firmy. </w:t>
      </w:r>
    </w:p>
    <w:p w:rsidR="00BF390D" w:rsidRPr="009F6B9C" w:rsidRDefault="00BF390D" w:rsidP="00B63CC2">
      <w:pPr>
        <w:pStyle w:val="Nadpisotzky"/>
        <w:numPr>
          <w:ilvl w:val="0"/>
          <w:numId w:val="1"/>
        </w:numPr>
        <w:ind w:left="425" w:hanging="426"/>
        <w:rPr>
          <w:rFonts w:ascii="Calibri" w:hAnsi="Calibri" w:cs="Calibri"/>
          <w:b w:val="0"/>
          <w:sz w:val="24"/>
          <w:szCs w:val="24"/>
        </w:rPr>
      </w:pPr>
      <w:r w:rsidRPr="009F6B9C">
        <w:rPr>
          <w:rFonts w:ascii="Calibri" w:hAnsi="Calibri" w:cs="Calibri"/>
          <w:b w:val="0"/>
          <w:sz w:val="24"/>
          <w:szCs w:val="24"/>
        </w:rPr>
        <w:t xml:space="preserve">Parciální rovnováha. </w:t>
      </w:r>
      <w:proofErr w:type="spellStart"/>
      <w:r w:rsidR="00B63CC2" w:rsidRPr="009F6B9C">
        <w:rPr>
          <w:rFonts w:ascii="Calibri" w:hAnsi="Calibri" w:cs="Calibri"/>
          <w:b w:val="0"/>
          <w:sz w:val="24"/>
          <w:szCs w:val="24"/>
        </w:rPr>
        <w:t>Edgeworthovy</w:t>
      </w:r>
      <w:proofErr w:type="spellEnd"/>
      <w:r w:rsidR="00B63CC2" w:rsidRPr="009F6B9C">
        <w:rPr>
          <w:rFonts w:ascii="Calibri" w:hAnsi="Calibri" w:cs="Calibri"/>
          <w:b w:val="0"/>
          <w:sz w:val="24"/>
          <w:szCs w:val="24"/>
        </w:rPr>
        <w:t xml:space="preserve"> box diagramy</w:t>
      </w:r>
      <w:r w:rsidR="009F6B9C" w:rsidRPr="009F6B9C">
        <w:rPr>
          <w:rFonts w:ascii="Calibri" w:hAnsi="Calibri" w:cs="Calibri"/>
          <w:b w:val="0"/>
          <w:sz w:val="24"/>
          <w:szCs w:val="24"/>
        </w:rPr>
        <w:t xml:space="preserve"> a efektivnost</w:t>
      </w:r>
      <w:r w:rsidR="00B63CC2" w:rsidRPr="009F6B9C">
        <w:rPr>
          <w:rFonts w:ascii="Calibri" w:hAnsi="Calibri" w:cs="Calibri"/>
          <w:b w:val="0"/>
          <w:sz w:val="24"/>
          <w:szCs w:val="24"/>
        </w:rPr>
        <w:t xml:space="preserve">. </w:t>
      </w:r>
    </w:p>
    <w:p w:rsidR="00B63CC2" w:rsidRPr="009F6B9C" w:rsidRDefault="00B63CC2" w:rsidP="00B63CC2">
      <w:pPr>
        <w:pStyle w:val="Nadpisotzky"/>
        <w:numPr>
          <w:ilvl w:val="0"/>
          <w:numId w:val="1"/>
        </w:numPr>
        <w:ind w:left="425" w:hanging="426"/>
        <w:rPr>
          <w:rFonts w:ascii="Calibri" w:hAnsi="Calibri" w:cs="Calibri"/>
          <w:b w:val="0"/>
          <w:sz w:val="24"/>
          <w:szCs w:val="24"/>
        </w:rPr>
      </w:pPr>
      <w:r w:rsidRPr="009F6B9C">
        <w:rPr>
          <w:rFonts w:ascii="Calibri" w:hAnsi="Calibri" w:cs="Calibri"/>
          <w:b w:val="0"/>
          <w:sz w:val="24"/>
          <w:szCs w:val="24"/>
        </w:rPr>
        <w:t>Hranice výrobních možností</w:t>
      </w:r>
      <w:r w:rsidR="00BF390D" w:rsidRPr="009F6B9C">
        <w:rPr>
          <w:rFonts w:ascii="Calibri" w:hAnsi="Calibri" w:cs="Calibri"/>
          <w:b w:val="0"/>
          <w:sz w:val="24"/>
          <w:szCs w:val="24"/>
        </w:rPr>
        <w:t xml:space="preserve"> a všeobecná rovnováha</w:t>
      </w:r>
      <w:r w:rsidRPr="009F6B9C">
        <w:rPr>
          <w:rFonts w:ascii="Calibri" w:hAnsi="Calibri" w:cs="Calibri"/>
          <w:b w:val="0"/>
          <w:sz w:val="24"/>
          <w:szCs w:val="24"/>
        </w:rPr>
        <w:t xml:space="preserve">. </w:t>
      </w:r>
    </w:p>
    <w:p w:rsidR="00B63CC2" w:rsidRPr="009F6B9C" w:rsidRDefault="00B63CC2" w:rsidP="00B63CC2">
      <w:pPr>
        <w:pStyle w:val="Nadpisotzky"/>
        <w:numPr>
          <w:ilvl w:val="0"/>
          <w:numId w:val="1"/>
        </w:numPr>
        <w:ind w:left="425" w:hanging="426"/>
        <w:rPr>
          <w:rFonts w:ascii="Calibri" w:hAnsi="Calibri" w:cs="Calibri"/>
          <w:b w:val="0"/>
          <w:sz w:val="24"/>
          <w:szCs w:val="24"/>
        </w:rPr>
      </w:pPr>
      <w:r w:rsidRPr="009F6B9C">
        <w:rPr>
          <w:rFonts w:ascii="Calibri" w:hAnsi="Calibri" w:cs="Calibri"/>
          <w:b w:val="0"/>
          <w:sz w:val="24"/>
          <w:szCs w:val="24"/>
        </w:rPr>
        <w:t>Příjmy, náklady a zisky firmy na dokonale a nedokonale konkurenčním trhu.</w:t>
      </w:r>
    </w:p>
    <w:p w:rsidR="00B63CC2" w:rsidRPr="009F6B9C" w:rsidRDefault="00B63CC2" w:rsidP="00B63CC2">
      <w:pPr>
        <w:pStyle w:val="Nadpisotzky"/>
        <w:numPr>
          <w:ilvl w:val="0"/>
          <w:numId w:val="1"/>
        </w:numPr>
        <w:ind w:left="425" w:hanging="426"/>
        <w:rPr>
          <w:rFonts w:ascii="Calibri" w:hAnsi="Calibri" w:cs="Calibri"/>
          <w:b w:val="0"/>
          <w:sz w:val="24"/>
          <w:szCs w:val="24"/>
        </w:rPr>
      </w:pPr>
      <w:r w:rsidRPr="009F6B9C">
        <w:rPr>
          <w:rFonts w:ascii="Calibri" w:hAnsi="Calibri" w:cs="Calibri"/>
          <w:b w:val="0"/>
          <w:sz w:val="24"/>
          <w:szCs w:val="24"/>
        </w:rPr>
        <w:t>Chování firmy v podmínkách dokonale konkurenčních trhů v krátkém období.</w:t>
      </w:r>
    </w:p>
    <w:p w:rsidR="00B63CC2" w:rsidRPr="009F6B9C" w:rsidRDefault="00B63CC2" w:rsidP="00B63CC2">
      <w:pPr>
        <w:pStyle w:val="Nadpisotzky"/>
        <w:numPr>
          <w:ilvl w:val="0"/>
          <w:numId w:val="1"/>
        </w:numPr>
        <w:ind w:left="425" w:hanging="426"/>
        <w:rPr>
          <w:rFonts w:ascii="Calibri" w:hAnsi="Calibri" w:cs="Calibri"/>
          <w:b w:val="0"/>
          <w:sz w:val="24"/>
          <w:szCs w:val="24"/>
        </w:rPr>
      </w:pPr>
      <w:r w:rsidRPr="009F6B9C">
        <w:rPr>
          <w:rFonts w:ascii="Calibri" w:hAnsi="Calibri" w:cs="Calibri"/>
          <w:b w:val="0"/>
          <w:sz w:val="24"/>
          <w:szCs w:val="24"/>
        </w:rPr>
        <w:t>Chování firmy v podmínkách dokonale konkurenčních trhů v dlouhém období.</w:t>
      </w:r>
    </w:p>
    <w:p w:rsidR="001433FB" w:rsidRPr="009F6B9C" w:rsidRDefault="00B63CC2" w:rsidP="00B63CC2">
      <w:pPr>
        <w:pStyle w:val="Nadpisotzky"/>
        <w:numPr>
          <w:ilvl w:val="0"/>
          <w:numId w:val="1"/>
        </w:numPr>
        <w:ind w:left="425" w:hanging="426"/>
        <w:rPr>
          <w:rFonts w:ascii="Calibri" w:hAnsi="Calibri" w:cs="Calibri"/>
          <w:b w:val="0"/>
          <w:sz w:val="24"/>
          <w:szCs w:val="24"/>
        </w:rPr>
      </w:pPr>
      <w:r w:rsidRPr="009F6B9C">
        <w:rPr>
          <w:rFonts w:ascii="Calibri" w:hAnsi="Calibri" w:cs="Calibri"/>
          <w:b w:val="0"/>
          <w:sz w:val="24"/>
          <w:szCs w:val="24"/>
        </w:rPr>
        <w:t xml:space="preserve">Chování firmy v podmínkách monopolu, volba výstupu a stanovení ceny. </w:t>
      </w:r>
    </w:p>
    <w:p w:rsidR="00B63CC2" w:rsidRPr="009F6B9C" w:rsidRDefault="00B63CC2" w:rsidP="00B63CC2">
      <w:pPr>
        <w:pStyle w:val="Nadpisotzky"/>
        <w:numPr>
          <w:ilvl w:val="0"/>
          <w:numId w:val="1"/>
        </w:numPr>
        <w:ind w:left="425" w:hanging="426"/>
        <w:rPr>
          <w:rFonts w:ascii="Calibri" w:hAnsi="Calibri" w:cs="Calibri"/>
          <w:b w:val="0"/>
          <w:sz w:val="24"/>
          <w:szCs w:val="24"/>
        </w:rPr>
      </w:pPr>
      <w:r w:rsidRPr="009F6B9C">
        <w:rPr>
          <w:rFonts w:ascii="Calibri" w:hAnsi="Calibri" w:cs="Calibri"/>
          <w:b w:val="0"/>
          <w:sz w:val="24"/>
          <w:szCs w:val="24"/>
        </w:rPr>
        <w:t>Efektivnost monopolu</w:t>
      </w:r>
      <w:r w:rsidR="00EA5D7D" w:rsidRPr="009F6B9C">
        <w:rPr>
          <w:rFonts w:ascii="Calibri" w:hAnsi="Calibri" w:cs="Calibri"/>
          <w:b w:val="0"/>
          <w:sz w:val="24"/>
          <w:szCs w:val="24"/>
        </w:rPr>
        <w:t xml:space="preserve"> (náklady mrtvé váhy)</w:t>
      </w:r>
      <w:r w:rsidRPr="009F6B9C">
        <w:rPr>
          <w:rFonts w:ascii="Calibri" w:hAnsi="Calibri" w:cs="Calibri"/>
          <w:b w:val="0"/>
          <w:sz w:val="24"/>
          <w:szCs w:val="24"/>
        </w:rPr>
        <w:t xml:space="preserve"> a jeho regulace. Cenová diskriminace.  </w:t>
      </w:r>
    </w:p>
    <w:p w:rsidR="00EA5D7D" w:rsidRPr="009F6B9C" w:rsidRDefault="00B63CC2" w:rsidP="00EA5D7D">
      <w:pPr>
        <w:pStyle w:val="Nadpisotzky"/>
        <w:numPr>
          <w:ilvl w:val="0"/>
          <w:numId w:val="1"/>
        </w:numPr>
        <w:ind w:left="425" w:hanging="426"/>
        <w:rPr>
          <w:rFonts w:ascii="Calibri" w:hAnsi="Calibri" w:cs="Calibri"/>
          <w:b w:val="0"/>
          <w:sz w:val="24"/>
          <w:szCs w:val="24"/>
        </w:rPr>
      </w:pPr>
      <w:r w:rsidRPr="009F6B9C">
        <w:rPr>
          <w:rFonts w:ascii="Calibri" w:hAnsi="Calibri" w:cs="Calibri"/>
          <w:b w:val="0"/>
          <w:sz w:val="24"/>
          <w:szCs w:val="24"/>
        </w:rPr>
        <w:t xml:space="preserve">Chování firmy v podmínkách oligopolní tržní struktury. Modely oligopolu. </w:t>
      </w:r>
    </w:p>
    <w:p w:rsidR="00EA5D7D" w:rsidRPr="009F6B9C" w:rsidRDefault="00B63CC2" w:rsidP="00EA5D7D">
      <w:pPr>
        <w:pStyle w:val="Nadpisotzky"/>
        <w:numPr>
          <w:ilvl w:val="0"/>
          <w:numId w:val="1"/>
        </w:numPr>
        <w:ind w:left="425" w:hanging="426"/>
        <w:rPr>
          <w:rFonts w:ascii="Calibri" w:hAnsi="Calibri" w:cs="Calibri"/>
          <w:b w:val="0"/>
          <w:sz w:val="24"/>
          <w:szCs w:val="24"/>
        </w:rPr>
      </w:pPr>
      <w:r w:rsidRPr="009F6B9C">
        <w:rPr>
          <w:rFonts w:ascii="Calibri" w:hAnsi="Calibri" w:cs="Calibri"/>
          <w:b w:val="0"/>
          <w:sz w:val="24"/>
          <w:szCs w:val="24"/>
        </w:rPr>
        <w:t>Teorie her a oligopol.</w:t>
      </w:r>
    </w:p>
    <w:p w:rsidR="00B63CC2" w:rsidRPr="009F6B9C" w:rsidRDefault="00EA5D7D" w:rsidP="00B63CC2">
      <w:pPr>
        <w:numPr>
          <w:ilvl w:val="0"/>
          <w:numId w:val="1"/>
        </w:numPr>
        <w:spacing w:after="0" w:line="20" w:lineRule="atLeast"/>
        <w:ind w:left="425" w:hanging="426"/>
        <w:jc w:val="both"/>
        <w:rPr>
          <w:rFonts w:ascii="Calibri" w:hAnsi="Calibri" w:cs="Calibri"/>
          <w:sz w:val="24"/>
          <w:szCs w:val="24"/>
        </w:rPr>
      </w:pPr>
      <w:r w:rsidRPr="009F6B9C">
        <w:rPr>
          <w:rFonts w:ascii="Calibri" w:hAnsi="Calibri" w:cs="Calibri"/>
          <w:sz w:val="24"/>
          <w:szCs w:val="24"/>
        </w:rPr>
        <w:t>Firma na monopolně konkurenčním trhu. Modely monopolistické konkurence.</w:t>
      </w:r>
    </w:p>
    <w:p w:rsidR="002E3BEB" w:rsidRPr="009F6B9C" w:rsidRDefault="00B63CC2" w:rsidP="00B63CC2">
      <w:pPr>
        <w:pStyle w:val="Nadpisotzky"/>
        <w:numPr>
          <w:ilvl w:val="0"/>
          <w:numId w:val="1"/>
        </w:numPr>
        <w:spacing w:line="20" w:lineRule="atLeast"/>
        <w:ind w:left="425" w:hanging="426"/>
        <w:rPr>
          <w:rFonts w:ascii="Calibri" w:hAnsi="Calibri" w:cs="Calibri"/>
          <w:b w:val="0"/>
          <w:sz w:val="24"/>
          <w:szCs w:val="24"/>
        </w:rPr>
      </w:pPr>
      <w:r w:rsidRPr="009F6B9C">
        <w:rPr>
          <w:rFonts w:ascii="Calibri" w:hAnsi="Calibri" w:cs="Calibri"/>
          <w:b w:val="0"/>
          <w:sz w:val="24"/>
          <w:szCs w:val="24"/>
        </w:rPr>
        <w:t>Mikroekonomické aspekty trhu práce</w:t>
      </w:r>
      <w:r w:rsidR="009F6B9C" w:rsidRPr="009F6B9C">
        <w:rPr>
          <w:rFonts w:ascii="Calibri" w:hAnsi="Calibri" w:cs="Calibri"/>
          <w:b w:val="0"/>
          <w:sz w:val="24"/>
          <w:szCs w:val="24"/>
        </w:rPr>
        <w:t xml:space="preserve"> a jeho podobnost s trhem půdy</w:t>
      </w:r>
      <w:r w:rsidRPr="009F6B9C">
        <w:rPr>
          <w:rFonts w:ascii="Calibri" w:hAnsi="Calibri" w:cs="Calibri"/>
          <w:b w:val="0"/>
          <w:sz w:val="24"/>
          <w:szCs w:val="24"/>
        </w:rPr>
        <w:t xml:space="preserve">. Individuální nabídka práce. </w:t>
      </w:r>
    </w:p>
    <w:p w:rsidR="00B63CC2" w:rsidRPr="009F6B9C" w:rsidRDefault="00A36D9B" w:rsidP="00B63CC2">
      <w:pPr>
        <w:pStyle w:val="Nadpisotzky"/>
        <w:numPr>
          <w:ilvl w:val="0"/>
          <w:numId w:val="1"/>
        </w:numPr>
        <w:spacing w:line="20" w:lineRule="atLeast"/>
        <w:ind w:left="425" w:hanging="426"/>
        <w:rPr>
          <w:rFonts w:ascii="Calibri" w:hAnsi="Calibri" w:cs="Calibri"/>
          <w:b w:val="0"/>
          <w:sz w:val="24"/>
          <w:szCs w:val="24"/>
        </w:rPr>
      </w:pPr>
      <w:r w:rsidRPr="009F6B9C">
        <w:rPr>
          <w:rFonts w:ascii="Calibri" w:hAnsi="Calibri" w:cs="Calibri"/>
          <w:b w:val="0"/>
          <w:sz w:val="24"/>
          <w:szCs w:val="24"/>
        </w:rPr>
        <w:t>Poptávka po práci a nabídka práce v podmínkách dokonale a nedokonale konkurenčních trhů.</w:t>
      </w:r>
      <w:r w:rsidR="002E3BEB" w:rsidRPr="009F6B9C">
        <w:rPr>
          <w:rFonts w:ascii="Calibri" w:hAnsi="Calibri" w:cs="Calibri"/>
          <w:b w:val="0"/>
          <w:sz w:val="24"/>
          <w:szCs w:val="24"/>
        </w:rPr>
        <w:t xml:space="preserve"> </w:t>
      </w:r>
      <w:r w:rsidR="00B63CC2" w:rsidRPr="009F6B9C">
        <w:rPr>
          <w:rFonts w:ascii="Calibri" w:hAnsi="Calibri" w:cs="Calibri"/>
          <w:b w:val="0"/>
          <w:sz w:val="24"/>
          <w:szCs w:val="24"/>
        </w:rPr>
        <w:t>Bilaterální monopol.</w:t>
      </w:r>
    </w:p>
    <w:p w:rsidR="009B0F44" w:rsidRPr="009F6B9C" w:rsidRDefault="00B63CC2" w:rsidP="00B63CC2">
      <w:pPr>
        <w:pStyle w:val="Nadpisotzky"/>
        <w:numPr>
          <w:ilvl w:val="0"/>
          <w:numId w:val="1"/>
        </w:numPr>
        <w:spacing w:line="20" w:lineRule="atLeast"/>
        <w:ind w:left="425" w:hanging="426"/>
        <w:rPr>
          <w:rFonts w:ascii="Calibri" w:hAnsi="Calibri" w:cs="Calibri"/>
          <w:b w:val="0"/>
          <w:sz w:val="24"/>
          <w:szCs w:val="24"/>
        </w:rPr>
      </w:pPr>
      <w:r w:rsidRPr="009F6B9C">
        <w:rPr>
          <w:rFonts w:ascii="Calibri" w:hAnsi="Calibri" w:cs="Calibri"/>
          <w:b w:val="0"/>
          <w:sz w:val="24"/>
          <w:szCs w:val="24"/>
        </w:rPr>
        <w:t>Trh kapitálu</w:t>
      </w:r>
      <w:r w:rsidR="009F6B9C" w:rsidRPr="009F6B9C">
        <w:rPr>
          <w:rFonts w:ascii="Calibri" w:hAnsi="Calibri" w:cs="Calibri"/>
          <w:b w:val="0"/>
          <w:sz w:val="24"/>
          <w:szCs w:val="24"/>
        </w:rPr>
        <w:t>, jeho charakteristika z pohledu mikroekonomie</w:t>
      </w:r>
      <w:r w:rsidRPr="009F6B9C">
        <w:rPr>
          <w:rFonts w:ascii="Calibri" w:hAnsi="Calibri" w:cs="Calibri"/>
          <w:b w:val="0"/>
          <w:sz w:val="24"/>
          <w:szCs w:val="24"/>
        </w:rPr>
        <w:t>.</w:t>
      </w:r>
      <w:r w:rsidR="002E3BEB" w:rsidRPr="009F6B9C">
        <w:rPr>
          <w:rFonts w:ascii="Calibri" w:hAnsi="Calibri" w:cs="Calibri"/>
          <w:b w:val="0"/>
          <w:sz w:val="24"/>
          <w:szCs w:val="24"/>
        </w:rPr>
        <w:t xml:space="preserve"> </w:t>
      </w:r>
    </w:p>
    <w:p w:rsidR="009F6B9C" w:rsidRPr="009F6B9C" w:rsidRDefault="00B63CC2" w:rsidP="00B63CC2">
      <w:pPr>
        <w:pStyle w:val="Nadpisotzky"/>
        <w:numPr>
          <w:ilvl w:val="0"/>
          <w:numId w:val="1"/>
        </w:numPr>
        <w:spacing w:line="20" w:lineRule="atLeast"/>
        <w:ind w:left="425" w:hanging="426"/>
        <w:rPr>
          <w:rFonts w:ascii="Calibri" w:hAnsi="Calibri" w:cs="Calibri"/>
          <w:b w:val="0"/>
          <w:sz w:val="24"/>
          <w:szCs w:val="24"/>
        </w:rPr>
      </w:pPr>
      <w:r w:rsidRPr="009F6B9C">
        <w:rPr>
          <w:rFonts w:ascii="Calibri" w:hAnsi="Calibri" w:cs="Calibri"/>
          <w:b w:val="0"/>
          <w:sz w:val="24"/>
          <w:szCs w:val="24"/>
        </w:rPr>
        <w:t>Rozhodování spotřebitele a problematika indiferenční analýzy</w:t>
      </w:r>
      <w:r w:rsidR="009F6B9C" w:rsidRPr="009F6B9C">
        <w:rPr>
          <w:rFonts w:ascii="Calibri" w:hAnsi="Calibri" w:cs="Calibri"/>
          <w:b w:val="0"/>
          <w:sz w:val="24"/>
          <w:szCs w:val="24"/>
        </w:rPr>
        <w:t xml:space="preserve"> (dlužník, věřitel)</w:t>
      </w:r>
      <w:r w:rsidRPr="009F6B9C">
        <w:rPr>
          <w:rFonts w:ascii="Calibri" w:hAnsi="Calibri" w:cs="Calibri"/>
          <w:b w:val="0"/>
          <w:sz w:val="24"/>
          <w:szCs w:val="24"/>
        </w:rPr>
        <w:t xml:space="preserve">. </w:t>
      </w:r>
    </w:p>
    <w:p w:rsidR="009F6B9C" w:rsidRPr="009F6B9C" w:rsidRDefault="00B63CC2" w:rsidP="00B63CC2">
      <w:pPr>
        <w:pStyle w:val="Nadpisotzky"/>
        <w:numPr>
          <w:ilvl w:val="0"/>
          <w:numId w:val="1"/>
        </w:numPr>
        <w:spacing w:line="20" w:lineRule="atLeast"/>
        <w:ind w:left="425" w:hanging="426"/>
        <w:rPr>
          <w:rFonts w:ascii="Calibri" w:hAnsi="Calibri" w:cs="Calibri"/>
          <w:b w:val="0"/>
          <w:sz w:val="24"/>
          <w:szCs w:val="24"/>
        </w:rPr>
      </w:pPr>
      <w:r w:rsidRPr="009F6B9C">
        <w:rPr>
          <w:rFonts w:ascii="Calibri" w:hAnsi="Calibri" w:cs="Calibri"/>
          <w:b w:val="0"/>
          <w:sz w:val="24"/>
          <w:szCs w:val="24"/>
        </w:rPr>
        <w:t xml:space="preserve">Investiční rozhodování při neexistenci </w:t>
      </w:r>
      <w:r w:rsidR="009F6B9C" w:rsidRPr="009F6B9C">
        <w:rPr>
          <w:rFonts w:ascii="Calibri" w:hAnsi="Calibri" w:cs="Calibri"/>
          <w:b w:val="0"/>
          <w:sz w:val="24"/>
          <w:szCs w:val="24"/>
        </w:rPr>
        <w:t xml:space="preserve">a existenci </w:t>
      </w:r>
      <w:r w:rsidRPr="009F6B9C">
        <w:rPr>
          <w:rFonts w:ascii="Calibri" w:hAnsi="Calibri" w:cs="Calibri"/>
          <w:b w:val="0"/>
          <w:sz w:val="24"/>
          <w:szCs w:val="24"/>
        </w:rPr>
        <w:t xml:space="preserve">kapitálového trhu. </w:t>
      </w:r>
    </w:p>
    <w:p w:rsidR="009B0F44" w:rsidRPr="009F6B9C" w:rsidRDefault="009B0F44" w:rsidP="00B63CC2">
      <w:pPr>
        <w:pStyle w:val="Nadpisotzky"/>
        <w:numPr>
          <w:ilvl w:val="0"/>
          <w:numId w:val="1"/>
        </w:numPr>
        <w:spacing w:line="20" w:lineRule="atLeast"/>
        <w:ind w:left="425" w:hanging="426"/>
        <w:rPr>
          <w:rFonts w:ascii="Calibri" w:hAnsi="Calibri" w:cs="Calibri"/>
          <w:b w:val="0"/>
          <w:sz w:val="24"/>
          <w:szCs w:val="24"/>
        </w:rPr>
      </w:pPr>
      <w:r w:rsidRPr="009F6B9C">
        <w:rPr>
          <w:rFonts w:ascii="Calibri" w:hAnsi="Calibri" w:cs="Calibri"/>
          <w:b w:val="0"/>
          <w:sz w:val="24"/>
          <w:szCs w:val="24"/>
        </w:rPr>
        <w:t>Tržní selhání</w:t>
      </w:r>
      <w:r w:rsidR="009F6B9C" w:rsidRPr="009F6B9C">
        <w:rPr>
          <w:rFonts w:ascii="Calibri" w:hAnsi="Calibri" w:cs="Calibri"/>
          <w:b w:val="0"/>
          <w:sz w:val="24"/>
          <w:szCs w:val="24"/>
        </w:rPr>
        <w:t xml:space="preserve"> a jeho podoby, podpora a eliminace</w:t>
      </w:r>
      <w:r w:rsidRPr="009F6B9C">
        <w:rPr>
          <w:rFonts w:ascii="Calibri" w:hAnsi="Calibri" w:cs="Calibri"/>
          <w:b w:val="0"/>
          <w:sz w:val="24"/>
          <w:szCs w:val="24"/>
        </w:rPr>
        <w:t>.</w:t>
      </w:r>
    </w:p>
    <w:p w:rsidR="00B63CC2" w:rsidRPr="009F6B9C" w:rsidRDefault="00B63CC2">
      <w:pPr>
        <w:rPr>
          <w:sz w:val="24"/>
          <w:szCs w:val="24"/>
        </w:rPr>
      </w:pPr>
      <w:bookmarkStart w:id="0" w:name="_GoBack"/>
      <w:bookmarkEnd w:id="0"/>
    </w:p>
    <w:sectPr w:rsidR="00B63CC2" w:rsidRPr="009F6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2551A"/>
    <w:multiLevelType w:val="hybridMultilevel"/>
    <w:tmpl w:val="407AFD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CC2"/>
    <w:rsid w:val="001433FB"/>
    <w:rsid w:val="002E3BEB"/>
    <w:rsid w:val="009B0F44"/>
    <w:rsid w:val="009F6B9C"/>
    <w:rsid w:val="00A36D9B"/>
    <w:rsid w:val="00B63CC2"/>
    <w:rsid w:val="00BF390D"/>
    <w:rsid w:val="00C27857"/>
    <w:rsid w:val="00EA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42B33"/>
  <w15:chartTrackingRefBased/>
  <w15:docId w15:val="{3385B57C-AC2A-4FD9-B742-A415E2F0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otzky">
    <w:name w:val="Nadpis otázky"/>
    <w:basedOn w:val="Normln"/>
    <w:uiPriority w:val="99"/>
    <w:rsid w:val="00B63CC2"/>
    <w:pPr>
      <w:spacing w:after="0" w:line="240" w:lineRule="auto"/>
      <w:jc w:val="both"/>
    </w:pPr>
    <w:rPr>
      <w:rFonts w:ascii="Arial Narrow" w:eastAsia="Times New Roman" w:hAnsi="Arial Narrow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241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Majerová</dc:creator>
  <cp:keywords/>
  <dc:description/>
  <cp:lastModifiedBy>Ingrid Majerová</cp:lastModifiedBy>
  <cp:revision>5</cp:revision>
  <dcterms:created xsi:type="dcterms:W3CDTF">2021-05-10T13:06:00Z</dcterms:created>
  <dcterms:modified xsi:type="dcterms:W3CDTF">2021-05-12T06:47:00Z</dcterms:modified>
</cp:coreProperties>
</file>